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spacing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"/>
          <w:sz w:val="32"/>
          <w:szCs w:val="32"/>
        </w:rPr>
        <w:t>附件2</w:t>
      </w:r>
    </w:p>
    <w:p>
      <w:pPr>
        <w:tabs>
          <w:tab w:val="left" w:pos="858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spacing w:val="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2025年</w:t>
      </w:r>
      <w:r>
        <w:rPr>
          <w:rFonts w:ascii="Times New Roman" w:hAnsi="Times New Roman" w:eastAsia="方正小标宋_GBK" w:cs="Times New Roman"/>
          <w:sz w:val="44"/>
          <w:szCs w:val="44"/>
        </w:rPr>
        <w:t>苏州市服务业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领军企业</w:t>
      </w:r>
      <w:r>
        <w:rPr>
          <w:rFonts w:ascii="Times New Roman" w:hAnsi="Times New Roman" w:eastAsia="方正小标宋_GBK" w:cs="Times New Roman"/>
          <w:sz w:val="44"/>
          <w:szCs w:val="44"/>
        </w:rPr>
        <w:t>申报指南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金融服务、信息服务、物流服务、科技服务、商务中介服务、设计服务、人力资源服务、检验检测认证服务、绿色低碳服务、现代商贸、文化消费、旅游康养</w:t>
      </w:r>
      <w:r>
        <w:rPr>
          <w:rFonts w:ascii="Times New Roman" w:hAnsi="Times New Roman" w:eastAsia="仿宋_GB2312" w:cs="Times New Roman"/>
          <w:sz w:val="32"/>
          <w:szCs w:val="32"/>
        </w:rPr>
        <w:t>等重点领域中在全国、全省行业排名靠前领先的服务业企业或专业服务机构。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二、认定条件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基本要求：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（1）在苏州从事经营活动满2年以上</w:t>
      </w:r>
      <w:r>
        <w:rPr>
          <w:rFonts w:ascii="Times New Roman" w:hAnsi="Times New Roman" w:eastAsia="仿宋_GB2312" w:cs="Times New Roman"/>
          <w:sz w:val="32"/>
          <w:szCs w:val="32"/>
        </w:rPr>
        <w:t>，依法纳税、诚信经营、财务管理规范；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年未被相关行政主管部门列入失信联合惩戒名单，在苏州市社会信用系统上信用记录良好；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原则上已纳入统计规上服务业库；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企业或机构规模实力、市场占有率等在全国、全省行业排名前列，处于产业链供应链核心优势地位，对于优化资源配置、产业生态构建等具有重大影响力；或在某细分行业或市场占据领先地位，拥有较强的核心竞争力、可持续的市场需求和良好的经济效益，所提供的服务具有显著的独特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相关经营指标要求（满足以下四个条件之一即可）：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sz w:val="32"/>
          <w:szCs w:val="32"/>
        </w:rPr>
        <w:t>上年度营业收入2000万元及以上，近两年平均增长率不低于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%，研发投入占营业收入比重不低于5%；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上年度营业收入1亿元及以上，近两年平均增长率不低于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%，研发投入占营业收入比重不低于4%；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上年度营业收入3亿元及以上，近两年平均增长率不低于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%，研发投入占营业收入比重不低于3%；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上年度营业收入10亿元及以上，近两年平均增长率不低于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%，研发投入占营业收入比重不低于2%。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在服务业创新领域、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薄弱</w:t>
      </w:r>
      <w:r>
        <w:rPr>
          <w:rFonts w:ascii="Times New Roman" w:hAnsi="Times New Roman" w:eastAsia="仿宋_GB2312" w:cs="Times New Roman"/>
          <w:sz w:val="32"/>
          <w:szCs w:val="32"/>
        </w:rPr>
        <w:t>领域，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做出</w:t>
      </w:r>
      <w:r>
        <w:rPr>
          <w:rFonts w:ascii="Times New Roman" w:hAnsi="Times New Roman" w:eastAsia="仿宋_GB2312" w:cs="Times New Roman"/>
          <w:sz w:val="32"/>
          <w:szCs w:val="32"/>
        </w:rPr>
        <w:t>较大贡献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成效显著的，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原则上</w:t>
      </w:r>
      <w:r>
        <w:rPr>
          <w:rFonts w:ascii="Times New Roman" w:hAnsi="Times New Roman" w:eastAsia="仿宋_GB2312" w:cs="Times New Roman"/>
          <w:sz w:val="32"/>
          <w:szCs w:val="32"/>
        </w:rPr>
        <w:t>可适当放宽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相关认定标准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三、扶持标准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获认定</w:t>
      </w:r>
      <w:r>
        <w:rPr>
          <w:rFonts w:ascii="Times New Roman" w:hAnsi="Times New Roman" w:eastAsia="仿宋_GB2312" w:cs="Times New Roman"/>
          <w:sz w:val="32"/>
          <w:szCs w:val="32"/>
        </w:rPr>
        <w:t>的服务业领军企业，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符合</w:t>
      </w:r>
      <w:r>
        <w:rPr>
          <w:rFonts w:ascii="Times New Roman" w:hAnsi="Times New Roman" w:eastAsia="仿宋_GB2312" w:cs="Times New Roman"/>
          <w:sz w:val="32"/>
          <w:szCs w:val="32"/>
        </w:rPr>
        <w:t>经营指标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1、2项的，</w:t>
      </w:r>
      <w:r>
        <w:rPr>
          <w:rFonts w:ascii="Times New Roman" w:hAnsi="Times New Roman" w:eastAsia="仿宋_GB2312" w:cs="Times New Roman"/>
          <w:sz w:val="32"/>
          <w:szCs w:val="32"/>
        </w:rPr>
        <w:t>给予每家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0万元奖励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；符合</w:t>
      </w:r>
      <w:r>
        <w:rPr>
          <w:rFonts w:ascii="Times New Roman" w:hAnsi="Times New Roman" w:eastAsia="仿宋_GB2312" w:cs="Times New Roman"/>
          <w:sz w:val="32"/>
          <w:szCs w:val="32"/>
        </w:rPr>
        <w:t>经营指标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3、4项的，</w:t>
      </w:r>
      <w:r>
        <w:rPr>
          <w:rFonts w:ascii="Times New Roman" w:hAnsi="Times New Roman" w:eastAsia="仿宋_GB2312" w:cs="Times New Roman"/>
          <w:sz w:val="32"/>
          <w:szCs w:val="32"/>
        </w:rPr>
        <w:t>给予每家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0万元奖励。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四、申报认定程序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1.申报</w:t>
      </w:r>
      <w:r>
        <w:rPr>
          <w:rFonts w:ascii="Times New Roman" w:hAnsi="Times New Roman" w:eastAsia="仿宋_GB2312" w:cs="Times New Roman"/>
          <w:sz w:val="32"/>
          <w:szCs w:val="32"/>
        </w:rPr>
        <w:t>。申报单位需按要求向所在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发改（经发）部门提交申请材料。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初审。各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发改（经发）部门收到申请材料后，联合当地相关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行业主管</w:t>
      </w:r>
      <w:r>
        <w:rPr>
          <w:rFonts w:ascii="Times New Roman" w:hAnsi="Times New Roman" w:eastAsia="仿宋_GB2312" w:cs="Times New Roman"/>
          <w:sz w:val="32"/>
          <w:szCs w:val="32"/>
        </w:rPr>
        <w:t>部门对材料进行初审。初审合格的，出具审核意见，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正式行文</w:t>
      </w:r>
      <w:r>
        <w:rPr>
          <w:rFonts w:ascii="Times New Roman" w:hAnsi="Times New Roman" w:eastAsia="仿宋_GB2312" w:cs="Times New Roman"/>
          <w:sz w:val="32"/>
          <w:szCs w:val="32"/>
        </w:rPr>
        <w:t>报送至市发改委。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复审。通过初审的单位，由市发改委邀请市级相关部门和行业专家开展评审工作。结合评审情况，综合研究后拟定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认定企业及</w:t>
      </w:r>
      <w:r>
        <w:rPr>
          <w:rFonts w:ascii="Times New Roman" w:hAnsi="Times New Roman" w:eastAsia="仿宋_GB2312" w:cs="Times New Roman"/>
          <w:sz w:val="32"/>
          <w:szCs w:val="32"/>
        </w:rPr>
        <w:t>奖励名单。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公示。复审通过的拟认定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名单，报请市政府审定。审定通过后，由市发改委在相关网站予以公示。公示无异议的，由市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发改委发布认定企业名单。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。由市发改委会同市财政局按奖励标准，于认定当年下达奖励资金至相关企业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82053"/>
    <w:rsid w:val="2F7A4731"/>
    <w:rsid w:val="789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2025-04-21T03:22:00Z</dcterms:created>
  <dc:creator>SK</dc:creator>
  <cp:lastModifiedBy>Administrator</cp:lastModifiedBy>
  <dcterms:modified xsi:type="dcterms:W3CDTF">2025-04-21T09:21:14Z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C86CB64F970E4DD498B8236577AED7CD_11</vt:lpwstr>
  </property>
  <property fmtid="{D5CDD505-2E9C-101B-9397-08002B2CF9AE}" pid="4" name="KSOTemplateDocerSaveRecord">
    <vt:lpwstr>eyJoZGlkIjoiMDRkMmQwYWYzMThmOTQ4OTgwMDJkNDYxZmZlMDdjMWQiLCJ1c2VySWQiOiIzMTcyNjc0NTYifQ==</vt:lpwstr>
  </property>
</Properties>
</file>