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632059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bookmarkStart w:id="0" w:name="_GoBack"/>
      <w:bookmarkEnd w:id="0"/>
    </w:p>
    <w:p w14:paraId="7D50BA9E">
      <w:pPr>
        <w:spacing w:line="580" w:lineRule="exact"/>
        <w:jc w:val="center"/>
        <w:rPr>
          <w:rFonts w:ascii="小标宋" w:hAnsi="小标宋" w:eastAsia="小标宋" w:cs="小标宋"/>
          <w:sz w:val="44"/>
          <w:szCs w:val="44"/>
        </w:rPr>
      </w:pPr>
      <w:r>
        <w:rPr>
          <w:rFonts w:hint="eastAsia" w:ascii="小标宋" w:hAnsi="小标宋" w:eastAsia="小标宋" w:cs="小标宋"/>
          <w:sz w:val="44"/>
          <w:szCs w:val="44"/>
        </w:rPr>
        <w:t>太湖科学城功能片区简介</w:t>
      </w:r>
    </w:p>
    <w:p w14:paraId="6C8931E5">
      <w:pPr>
        <w:pStyle w:val="2"/>
      </w:pPr>
    </w:p>
    <w:p w14:paraId="5CEA826F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太湖科学城功能片区是苏州高新区三大功能片区之一，以苏州科技城作为主体管理机构，与西部生态旅游度假区（镇湖街道）、通安镇、东渚街道实行一体融合发展。功能片区总面积95平方公里，下辖21个社区、18个行政村，总人口24.5万人，其中常住人口13.3万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人。2022年全域实现一般公共预算收入29.85亿元，规上工业总产值</w:t>
      </w:r>
      <w:r>
        <w:rPr>
          <w:rFonts w:ascii="Times New Roman" w:hAnsi="Times New Roman" w:eastAsia="仿宋_GB2312" w:cs="Times New Roman"/>
          <w:sz w:val="32"/>
          <w:szCs w:val="32"/>
        </w:rPr>
        <w:t>458.8</w:t>
      </w:r>
      <w:r>
        <w:rPr>
          <w:rFonts w:ascii="Times New Roman" w:hAnsi="Times New Roman" w:eastAsia="仿宋_GB2312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亿元，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全社会固定资产投资</w:t>
      </w:r>
      <w:r>
        <w:rPr>
          <w:rFonts w:ascii="Times New Roman" w:hAnsi="Times New Roman" w:eastAsia="仿宋_GB2312" w:cs="Times New Roman"/>
          <w:sz w:val="32"/>
          <w:szCs w:val="32"/>
        </w:rPr>
        <w:t>251.1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亿元，其中工业投资</w:t>
      </w:r>
      <w:r>
        <w:rPr>
          <w:rFonts w:ascii="Times New Roman" w:hAnsi="Times New Roman" w:eastAsia="仿宋_GB2312" w:cs="Times New Roman"/>
          <w:sz w:val="32"/>
          <w:szCs w:val="32"/>
        </w:rPr>
        <w:t>31.3</w:t>
      </w:r>
      <w:r>
        <w:rPr>
          <w:rFonts w:ascii="Times New Roman" w:hAnsi="Times New Roman" w:eastAsia="仿宋_GB2312" w:cs="Times New Roman"/>
          <w:snapToGrid w:val="0"/>
          <w:kern w:val="0"/>
          <w:sz w:val="32"/>
          <w:szCs w:val="32"/>
        </w:rPr>
        <w:t>亿元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7E674DD7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功能片区依托全国首家由国家科技部、江苏省政府、苏州市政府共建的大型科技研发创新基地——苏州科技城，引入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中国科学院苏州医工所、国家知识产权局专利局专利审查协作江苏中心、清华苏州环境创新研究院、东南大学苏州医疗器械研究院等重量级</w:t>
      </w:r>
      <w:r>
        <w:rPr>
          <w:rFonts w:ascii="Times New Roman" w:hAnsi="Times New Roman" w:eastAsia="仿宋_GB2312" w:cs="Times New Roman"/>
          <w:sz w:val="32"/>
          <w:szCs w:val="32"/>
        </w:rPr>
        <w:t>“中字头”“国字号”大院大所及创新平台，拥有全市首个全国重点实验室、全区首个国家级企业技术中心，太湖科学城、太湖光子中心、南京大学苏州校区等重大战略在这里落地起势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 w14:paraId="7E39DCEC">
      <w:pPr>
        <w:spacing w:line="58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功能片区集聚中建国际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、中国移动云能力中心、协鑫光伏、普源精电、住友电工等海内外</w:t>
      </w:r>
      <w:r>
        <w:rPr>
          <w:rFonts w:ascii="Times New Roman" w:hAnsi="Times New Roman" w:eastAsia="仿宋_GB2312" w:cs="Times New Roman"/>
          <w:sz w:val="32"/>
          <w:szCs w:val="32"/>
        </w:rPr>
        <w:t>知名企业1500余家，其中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有效</w:t>
      </w:r>
      <w:r>
        <w:rPr>
          <w:rFonts w:ascii="Times New Roman" w:hAnsi="Times New Roman" w:eastAsia="仿宋_GB2312" w:cs="Times New Roman"/>
          <w:sz w:val="32"/>
          <w:szCs w:val="32"/>
        </w:rPr>
        <w:t>国家高企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467</w:t>
      </w:r>
      <w:r>
        <w:rPr>
          <w:rFonts w:ascii="Times New Roman" w:hAnsi="Times New Roman" w:eastAsia="仿宋_GB2312" w:cs="Times New Roman"/>
          <w:sz w:val="32"/>
          <w:szCs w:val="32"/>
        </w:rPr>
        <w:t>家、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省级以上独角兽企业2家，市级以上潜在独角兽企业30家、瞪羚企业146家</w:t>
      </w:r>
      <w:r>
        <w:rPr>
          <w:rFonts w:ascii="Times New Roman" w:hAnsi="Times New Roman" w:eastAsia="仿宋_GB2312" w:cs="Times New Roman"/>
          <w:sz w:val="32"/>
          <w:szCs w:val="32"/>
        </w:rPr>
        <w:t>，拥有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中国激光芯片第一股长光华芯、中国机器视觉第一股天准科技等</w:t>
      </w:r>
      <w:r>
        <w:rPr>
          <w:rFonts w:ascii="Times New Roman" w:hAnsi="Times New Roman" w:eastAsia="仿宋_GB2312" w:cs="Times New Roman"/>
          <w:sz w:val="32"/>
          <w:szCs w:val="32"/>
        </w:rPr>
        <w:t>上市企业11家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其中科创板7家），积极打造光子、数字与智能、高端医疗器械等三大千亿级产业创新集群。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累计引育海内外各类高层次和专业人才20000余人, 引进和获批各级领军人才超1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00人次，其中国家重大人才工程计划人才6</w:t>
      </w:r>
      <w:r>
        <w:rPr>
          <w:rFonts w:ascii="Times New Roman" w:hAnsi="Times New Roman" w:eastAsia="仿宋_GB2312" w:cs="Times New Roman"/>
          <w:sz w:val="32"/>
          <w:szCs w:val="32"/>
        </w:rPr>
        <w:t>7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人、江苏省双创团队1</w:t>
      </w:r>
      <w:r>
        <w:rPr>
          <w:rFonts w:ascii="Times New Roman" w:hAnsi="Times New Roman" w:eastAsia="仿宋_GB2312" w:cs="Times New Roman"/>
          <w:sz w:val="32"/>
          <w:szCs w:val="32"/>
        </w:rPr>
        <w:t>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个、姑苏顶尖团队1个、姑苏重大创新团队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个</w:t>
      </w:r>
      <w:r>
        <w:rPr>
          <w:rFonts w:ascii="Times New Roman" w:hAnsi="Times New Roman" w:eastAsia="仿宋_GB2312" w:cs="Times New Roman"/>
          <w:sz w:val="32"/>
          <w:szCs w:val="32"/>
        </w:rPr>
        <w:t>。同时，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作为全市首个国家生态旅游示范区、全区首个省级旅游度假区的生态文旅优势，以国家非遗苏绣为核心的江南</w:t>
      </w:r>
      <w:r>
        <w:rPr>
          <w:rFonts w:ascii="Times New Roman" w:hAnsi="Times New Roman" w:eastAsia="仿宋_GB2312" w:cs="Times New Roman"/>
          <w:sz w:val="32"/>
          <w:szCs w:val="32"/>
        </w:rPr>
        <w:t>文化底蕴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，市场化法治化</w:t>
      </w:r>
      <w:r>
        <w:rPr>
          <w:rFonts w:ascii="Times New Roman" w:hAnsi="Times New Roman" w:eastAsia="仿宋_GB2312" w:cs="Times New Roman"/>
          <w:sz w:val="32"/>
          <w:szCs w:val="32"/>
        </w:rPr>
        <w:t>国际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化</w:t>
      </w:r>
      <w:r>
        <w:rPr>
          <w:rFonts w:ascii="Times New Roman" w:hAnsi="Times New Roman" w:eastAsia="仿宋_GB2312" w:cs="Times New Roman"/>
          <w:sz w:val="32"/>
          <w:szCs w:val="32"/>
        </w:rPr>
        <w:t>的营商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生活</w:t>
      </w:r>
      <w:r>
        <w:rPr>
          <w:rFonts w:ascii="Times New Roman" w:hAnsi="Times New Roman" w:eastAsia="仿宋_GB2312" w:cs="Times New Roman"/>
          <w:sz w:val="32"/>
          <w:szCs w:val="32"/>
        </w:rPr>
        <w:t>环境，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进一步</w:t>
      </w:r>
      <w:r>
        <w:rPr>
          <w:rFonts w:ascii="Times New Roman" w:hAnsi="Times New Roman" w:eastAsia="仿宋_GB2312" w:cs="Times New Roman"/>
          <w:sz w:val="32"/>
          <w:szCs w:val="32"/>
        </w:rPr>
        <w:t>奠定了“科技创新”和“生态人文”融合发展的鲜明底色。</w:t>
      </w:r>
    </w:p>
    <w:p w14:paraId="3695DD37">
      <w:pPr>
        <w:adjustRightInd w:val="0"/>
        <w:snapToGrid w:val="0"/>
        <w:spacing w:line="580" w:lineRule="exact"/>
        <w:ind w:firstLine="640" w:firstLineChars="200"/>
        <w:rPr>
          <w:rFonts w:eastAsia="仿宋_GB231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下一步，太湖科学城功能片区将瞄准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太湖科学城“七个一流”以及</w:t>
      </w:r>
      <w:r>
        <w:rPr>
          <w:rFonts w:ascii="Times New Roman" w:hAnsi="Times New Roman" w:eastAsia="仿宋_GB2312" w:cs="Times New Roman"/>
          <w:sz w:val="32"/>
          <w:szCs w:val="32"/>
        </w:rPr>
        <w:t>“国家级科学城”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、</w:t>
      </w:r>
      <w:r>
        <w:rPr>
          <w:rFonts w:ascii="Times New Roman" w:hAnsi="Times New Roman" w:eastAsia="仿宋_GB2312" w:cs="Times New Roman"/>
          <w:sz w:val="32"/>
          <w:szCs w:val="32"/>
        </w:rPr>
        <w:t>“国家级旅游度假区”两大目标，全力打造以科创策源为立身之本、“四链”深度融合发展、山水园林意境的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世界</w:t>
      </w:r>
      <w:r>
        <w:rPr>
          <w:rFonts w:ascii="Times New Roman" w:hAnsi="Times New Roman" w:eastAsia="仿宋_GB2312" w:cs="Times New Roman"/>
          <w:sz w:val="32"/>
          <w:szCs w:val="32"/>
        </w:rPr>
        <w:t>一流科学城，</w:t>
      </w:r>
      <w:r>
        <w:rPr>
          <w:rFonts w:ascii="Times New Roman" w:hAnsi="Times New Roman" w:eastAsia="仿宋_GB2312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争当环太湖科创圈引领示范。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13E4912A-807C-4FF4-81A3-71832AD693BC}"/>
  </w:font>
  <w:font w:name="小标宋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A1714709-2877-4816-93EF-D56C71619014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A2CEAF1-FE46-4F9A-A713-4CEC8B0BFC9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U5ZDUwNGY0MTBjOTFmMDY5MmE3NDUxYjA2YjE2MzEifQ=="/>
  </w:docVars>
  <w:rsids>
    <w:rsidRoot w:val="007F645C"/>
    <w:rsid w:val="002308B8"/>
    <w:rsid w:val="00350905"/>
    <w:rsid w:val="006953A5"/>
    <w:rsid w:val="006D3879"/>
    <w:rsid w:val="00747563"/>
    <w:rsid w:val="007C1D4B"/>
    <w:rsid w:val="007F645C"/>
    <w:rsid w:val="00957D94"/>
    <w:rsid w:val="00A040DC"/>
    <w:rsid w:val="00A71141"/>
    <w:rsid w:val="01910C6E"/>
    <w:rsid w:val="02C45200"/>
    <w:rsid w:val="03EF01BB"/>
    <w:rsid w:val="08AC173C"/>
    <w:rsid w:val="0C5359A4"/>
    <w:rsid w:val="21AE0757"/>
    <w:rsid w:val="229225F3"/>
    <w:rsid w:val="2391310E"/>
    <w:rsid w:val="275A5F3D"/>
    <w:rsid w:val="2A067935"/>
    <w:rsid w:val="2EC76F67"/>
    <w:rsid w:val="360D19EB"/>
    <w:rsid w:val="38E20090"/>
    <w:rsid w:val="3A8B4B71"/>
    <w:rsid w:val="43572FFD"/>
    <w:rsid w:val="56074834"/>
    <w:rsid w:val="630721DF"/>
    <w:rsid w:val="69EE2BEA"/>
    <w:rsid w:val="6AEA5F4B"/>
    <w:rsid w:val="72164153"/>
    <w:rsid w:val="730432AC"/>
    <w:rsid w:val="77FE2D26"/>
    <w:rsid w:val="79CA0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unhideWhenUsed/>
    <w:qFormat/>
    <w:uiPriority w:val="39"/>
    <w:rPr>
      <w:rFonts w:ascii="Times New Roman" w:hAnsi="Times New Roman" w:eastAsia="宋体" w:cs="Times New Roman"/>
      <w:bCs/>
      <w:sz w:val="36"/>
      <w:szCs w:val="36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段"/>
    <w:next w:val="1"/>
    <w:qFormat/>
    <w:uiPriority w:val="0"/>
    <w:pPr>
      <w:autoSpaceDE w:val="0"/>
      <w:autoSpaceDN w:val="0"/>
      <w:ind w:firstLine="200"/>
      <w:jc w:val="both"/>
    </w:pPr>
    <w:rPr>
      <w:rFonts w:ascii="宋体" w:hAnsi="Calibri" w:eastAsia="宋体" w:cs="Times New Roman"/>
      <w:sz w:val="21"/>
      <w:szCs w:val="22"/>
      <w:lang w:val="en-US" w:eastAsia="zh-CN" w:bidi="ar-SA"/>
    </w:rPr>
  </w:style>
  <w:style w:type="character" w:customStyle="1" w:styleId="8">
    <w:name w:val="页眉 字符"/>
    <w:basedOn w:val="6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833</Words>
  <Characters>880</Characters>
  <Lines>6</Lines>
  <Paragraphs>1</Paragraphs>
  <TotalTime>0</TotalTime>
  <ScaleCrop>false</ScaleCrop>
  <LinksUpToDate>false</LinksUpToDate>
  <CharactersWithSpaces>881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2024-11-07T08:49:00Z</dcterms:created>
  <dc:creator>Administrator</dc:creator>
  <cp:lastModifiedBy>杨银</cp:lastModifiedBy>
  <dcterms:modified xsi:type="dcterms:W3CDTF">2024-11-11T06:51:31Z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1BC72F9C29E347A19B03CFC2EA0B61C6_13</vt:lpwstr>
  </property>
</Properties>
</file>