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291C4">
      <w:pPr>
        <w:widowControl/>
        <w:jc w:val="left"/>
        <w:rPr>
          <w:rFonts w:hint="default" w:eastAsia="黑体"/>
          <w:sz w:val="32"/>
          <w:szCs w:val="32"/>
          <w:lang w:val="en-US" w:eastAsia="zh-CN"/>
        </w:rPr>
      </w:pPr>
      <w:r>
        <w:rPr>
          <w:rFonts w:hAnsi="黑体" w:eastAsia="黑体"/>
          <w:sz w:val="32"/>
          <w:szCs w:val="32"/>
        </w:rPr>
        <w:t>附件</w:t>
      </w:r>
      <w:r>
        <w:rPr>
          <w:rFonts w:hint="eastAsia" w:eastAsia="黑体"/>
          <w:sz w:val="32"/>
          <w:szCs w:val="32"/>
          <w:lang w:val="en-US" w:eastAsia="zh-CN"/>
        </w:rPr>
        <w:t>2</w:t>
      </w:r>
    </w:p>
    <w:p w14:paraId="69446847">
      <w:pPr>
        <w:adjustRightInd w:val="0"/>
        <w:snapToGrid w:val="0"/>
        <w:spacing w:before="156" w:beforeLines="50" w:after="156" w:afterLines="50" w:line="240" w:lineRule="atLeast"/>
        <w:jc w:val="center"/>
        <w:rPr>
          <w:rFonts w:eastAsia="方正小标宋简体"/>
          <w:sz w:val="44"/>
          <w:szCs w:val="44"/>
        </w:rPr>
      </w:pPr>
      <w:r>
        <w:rPr>
          <w:rFonts w:eastAsia="方正小标宋简体"/>
          <w:sz w:val="44"/>
          <w:szCs w:val="44"/>
        </w:rPr>
        <w:t>相城区科技专项资金信用承诺书</w:t>
      </w:r>
    </w:p>
    <w:tbl>
      <w:tblPr>
        <w:tblStyle w:val="2"/>
        <w:tblW w:w="0" w:type="auto"/>
        <w:tblInd w:w="108" w:type="dxa"/>
        <w:tblLayout w:type="fixed"/>
        <w:tblCellMar>
          <w:top w:w="0" w:type="dxa"/>
          <w:left w:w="108" w:type="dxa"/>
          <w:bottom w:w="0" w:type="dxa"/>
          <w:right w:w="108" w:type="dxa"/>
        </w:tblCellMar>
      </w:tblPr>
      <w:tblGrid>
        <w:gridCol w:w="1919"/>
        <w:gridCol w:w="2687"/>
        <w:gridCol w:w="1559"/>
        <w:gridCol w:w="2584"/>
      </w:tblGrid>
      <w:tr w14:paraId="6D8F3B08">
        <w:tblPrEx>
          <w:tblCellMar>
            <w:top w:w="0" w:type="dxa"/>
            <w:left w:w="108" w:type="dxa"/>
            <w:bottom w:w="0" w:type="dxa"/>
            <w:right w:w="108" w:type="dxa"/>
          </w:tblCellMar>
        </w:tblPrEx>
        <w:trPr>
          <w:trHeight w:val="354" w:hRule="atLeast"/>
        </w:trPr>
        <w:tc>
          <w:tcPr>
            <w:tcW w:w="1919" w:type="dxa"/>
            <w:tcBorders>
              <w:top w:val="single" w:color="auto" w:sz="8" w:space="0"/>
              <w:left w:val="single" w:color="auto" w:sz="8" w:space="0"/>
              <w:bottom w:val="single" w:color="auto" w:sz="4" w:space="0"/>
              <w:right w:val="single" w:color="auto" w:sz="4" w:space="0"/>
            </w:tcBorders>
            <w:noWrap w:val="0"/>
            <w:vAlign w:val="center"/>
          </w:tcPr>
          <w:p w14:paraId="1BD84FF6">
            <w:pPr>
              <w:widowControl/>
              <w:jc w:val="center"/>
              <w:rPr>
                <w:rFonts w:hint="default" w:eastAsia="仿宋_GB2312"/>
                <w:b/>
                <w:szCs w:val="21"/>
                <w:lang w:val="en-US" w:eastAsia="zh-CN"/>
              </w:rPr>
            </w:pPr>
            <w:r>
              <w:rPr>
                <w:rFonts w:hint="eastAsia" w:eastAsia="仿宋_GB2312"/>
                <w:b/>
                <w:szCs w:val="21"/>
                <w:lang w:val="en-US" w:eastAsia="zh-CN"/>
              </w:rPr>
              <w:t>载体名称</w:t>
            </w:r>
          </w:p>
        </w:tc>
        <w:tc>
          <w:tcPr>
            <w:tcW w:w="2687" w:type="dxa"/>
            <w:tcBorders>
              <w:top w:val="single" w:color="auto" w:sz="8" w:space="0"/>
              <w:left w:val="nil"/>
              <w:bottom w:val="single" w:color="auto" w:sz="4" w:space="0"/>
              <w:right w:val="single" w:color="auto" w:sz="8" w:space="0"/>
            </w:tcBorders>
            <w:noWrap w:val="0"/>
            <w:vAlign w:val="center"/>
          </w:tcPr>
          <w:p w14:paraId="255D8FA1">
            <w:pPr>
              <w:widowControl/>
              <w:jc w:val="center"/>
              <w:rPr>
                <w:rFonts w:eastAsia="仿宋_GB2312"/>
                <w:szCs w:val="21"/>
              </w:rPr>
            </w:pPr>
          </w:p>
        </w:tc>
        <w:tc>
          <w:tcPr>
            <w:tcW w:w="1559" w:type="dxa"/>
            <w:tcBorders>
              <w:top w:val="single" w:color="auto" w:sz="8" w:space="0"/>
              <w:left w:val="nil"/>
              <w:bottom w:val="single" w:color="auto" w:sz="4" w:space="0"/>
              <w:right w:val="single" w:color="auto" w:sz="8" w:space="0"/>
            </w:tcBorders>
            <w:noWrap w:val="0"/>
            <w:vAlign w:val="center"/>
          </w:tcPr>
          <w:p w14:paraId="38AC1B0C">
            <w:pPr>
              <w:widowControl/>
              <w:jc w:val="center"/>
              <w:rPr>
                <w:rFonts w:eastAsia="仿宋_GB2312"/>
                <w:szCs w:val="21"/>
              </w:rPr>
            </w:pPr>
            <w:r>
              <w:rPr>
                <w:rFonts w:eastAsia="仿宋_GB2312"/>
                <w:b/>
                <w:szCs w:val="21"/>
              </w:rPr>
              <w:t>项目申报单位</w:t>
            </w:r>
          </w:p>
        </w:tc>
        <w:tc>
          <w:tcPr>
            <w:tcW w:w="2584" w:type="dxa"/>
            <w:tcBorders>
              <w:top w:val="single" w:color="auto" w:sz="8" w:space="0"/>
              <w:left w:val="nil"/>
              <w:bottom w:val="single" w:color="auto" w:sz="4" w:space="0"/>
              <w:right w:val="single" w:color="auto" w:sz="8" w:space="0"/>
            </w:tcBorders>
            <w:noWrap w:val="0"/>
            <w:vAlign w:val="center"/>
          </w:tcPr>
          <w:p w14:paraId="49BB5800">
            <w:pPr>
              <w:widowControl/>
              <w:jc w:val="center"/>
              <w:rPr>
                <w:rFonts w:eastAsia="仿宋_GB2312"/>
                <w:szCs w:val="21"/>
              </w:rPr>
            </w:pPr>
          </w:p>
        </w:tc>
      </w:tr>
      <w:tr w14:paraId="56683314">
        <w:tblPrEx>
          <w:tblCellMar>
            <w:top w:w="0" w:type="dxa"/>
            <w:left w:w="108" w:type="dxa"/>
            <w:bottom w:w="0" w:type="dxa"/>
            <w:right w:w="108" w:type="dxa"/>
          </w:tblCellMar>
        </w:tblPrEx>
        <w:trPr>
          <w:trHeight w:val="416" w:hRule="atLeast"/>
        </w:trPr>
        <w:tc>
          <w:tcPr>
            <w:tcW w:w="1919" w:type="dxa"/>
            <w:tcBorders>
              <w:top w:val="nil"/>
              <w:left w:val="single" w:color="auto" w:sz="8" w:space="0"/>
              <w:bottom w:val="single" w:color="auto" w:sz="4" w:space="0"/>
              <w:right w:val="single" w:color="auto" w:sz="4" w:space="0"/>
            </w:tcBorders>
            <w:noWrap w:val="0"/>
            <w:vAlign w:val="center"/>
          </w:tcPr>
          <w:p w14:paraId="0FFBC5AC">
            <w:pPr>
              <w:widowControl/>
              <w:jc w:val="center"/>
              <w:rPr>
                <w:rFonts w:hint="default" w:eastAsia="仿宋_GB2312"/>
                <w:b/>
                <w:szCs w:val="21"/>
                <w:lang w:val="en-US" w:eastAsia="zh-CN"/>
              </w:rPr>
            </w:pPr>
            <w:r>
              <w:rPr>
                <w:rFonts w:hint="eastAsia" w:eastAsia="仿宋_GB2312"/>
                <w:b/>
                <w:szCs w:val="21"/>
                <w:lang w:val="en-US" w:eastAsia="zh-CN"/>
              </w:rPr>
              <w:t>统一社会信用代码</w:t>
            </w:r>
          </w:p>
        </w:tc>
        <w:tc>
          <w:tcPr>
            <w:tcW w:w="2687" w:type="dxa"/>
            <w:tcBorders>
              <w:top w:val="nil"/>
              <w:left w:val="nil"/>
              <w:bottom w:val="single" w:color="auto" w:sz="4" w:space="0"/>
              <w:right w:val="single" w:color="auto" w:sz="4" w:space="0"/>
            </w:tcBorders>
            <w:noWrap w:val="0"/>
            <w:vAlign w:val="center"/>
          </w:tcPr>
          <w:p w14:paraId="769B4F61">
            <w:pPr>
              <w:widowControl/>
              <w:jc w:val="center"/>
              <w:rPr>
                <w:rFonts w:eastAsia="仿宋_GB2312"/>
                <w:szCs w:val="21"/>
              </w:rPr>
            </w:pPr>
          </w:p>
        </w:tc>
        <w:tc>
          <w:tcPr>
            <w:tcW w:w="1559" w:type="dxa"/>
            <w:tcBorders>
              <w:top w:val="nil"/>
              <w:left w:val="nil"/>
              <w:bottom w:val="single" w:color="auto" w:sz="4" w:space="0"/>
              <w:right w:val="single" w:color="auto" w:sz="4" w:space="0"/>
            </w:tcBorders>
            <w:noWrap w:val="0"/>
            <w:vAlign w:val="center"/>
          </w:tcPr>
          <w:p w14:paraId="32D613B6">
            <w:pPr>
              <w:widowControl/>
              <w:jc w:val="center"/>
              <w:rPr>
                <w:rFonts w:eastAsia="仿宋_GB2312"/>
                <w:b/>
                <w:szCs w:val="21"/>
              </w:rPr>
            </w:pPr>
            <w:r>
              <w:rPr>
                <w:rFonts w:eastAsia="仿宋_GB2312"/>
                <w:b/>
                <w:szCs w:val="21"/>
              </w:rPr>
              <w:t>所在板块</w:t>
            </w:r>
          </w:p>
        </w:tc>
        <w:tc>
          <w:tcPr>
            <w:tcW w:w="2584" w:type="dxa"/>
            <w:tcBorders>
              <w:top w:val="nil"/>
              <w:left w:val="nil"/>
              <w:bottom w:val="single" w:color="auto" w:sz="4" w:space="0"/>
              <w:right w:val="single" w:color="auto" w:sz="8" w:space="0"/>
            </w:tcBorders>
            <w:noWrap w:val="0"/>
            <w:vAlign w:val="center"/>
          </w:tcPr>
          <w:p w14:paraId="7ED7B54E">
            <w:pPr>
              <w:widowControl/>
              <w:jc w:val="center"/>
              <w:rPr>
                <w:rFonts w:eastAsia="仿宋_GB2312"/>
                <w:szCs w:val="21"/>
              </w:rPr>
            </w:pPr>
          </w:p>
        </w:tc>
      </w:tr>
      <w:tr w14:paraId="7FC0A2C9">
        <w:tblPrEx>
          <w:tblCellMar>
            <w:top w:w="0" w:type="dxa"/>
            <w:left w:w="108" w:type="dxa"/>
            <w:bottom w:w="0" w:type="dxa"/>
            <w:right w:w="108" w:type="dxa"/>
          </w:tblCellMar>
        </w:tblPrEx>
        <w:trPr>
          <w:trHeight w:val="70" w:hRule="atLeast"/>
        </w:trPr>
        <w:tc>
          <w:tcPr>
            <w:tcW w:w="1919" w:type="dxa"/>
            <w:tcBorders>
              <w:top w:val="nil"/>
              <w:left w:val="single" w:color="auto" w:sz="8" w:space="0"/>
              <w:bottom w:val="single" w:color="auto" w:sz="4" w:space="0"/>
              <w:right w:val="single" w:color="auto" w:sz="4" w:space="0"/>
            </w:tcBorders>
            <w:noWrap w:val="0"/>
            <w:vAlign w:val="center"/>
          </w:tcPr>
          <w:p w14:paraId="1BE6B260">
            <w:pPr>
              <w:widowControl/>
              <w:jc w:val="center"/>
              <w:rPr>
                <w:rFonts w:eastAsia="仿宋_GB2312"/>
                <w:b/>
                <w:szCs w:val="21"/>
              </w:rPr>
            </w:pPr>
            <w:r>
              <w:rPr>
                <w:rFonts w:eastAsia="仿宋_GB2312"/>
                <w:b/>
                <w:szCs w:val="21"/>
              </w:rPr>
              <w:t>项目名称</w:t>
            </w:r>
          </w:p>
        </w:tc>
        <w:tc>
          <w:tcPr>
            <w:tcW w:w="6830" w:type="dxa"/>
            <w:gridSpan w:val="3"/>
            <w:tcBorders>
              <w:top w:val="nil"/>
              <w:left w:val="nil"/>
              <w:bottom w:val="single" w:color="auto" w:sz="4" w:space="0"/>
              <w:right w:val="single" w:color="auto" w:sz="8" w:space="0"/>
            </w:tcBorders>
            <w:noWrap w:val="0"/>
            <w:vAlign w:val="center"/>
          </w:tcPr>
          <w:p w14:paraId="22A7E77F">
            <w:pPr>
              <w:widowControl/>
              <w:jc w:val="center"/>
              <w:rPr>
                <w:rFonts w:eastAsia="仿宋_GB2312"/>
                <w:szCs w:val="21"/>
              </w:rPr>
            </w:pPr>
            <w:r>
              <w:rPr>
                <w:rFonts w:hint="eastAsia" w:eastAsia="仿宋_GB2312"/>
                <w:b/>
                <w:szCs w:val="21"/>
              </w:rPr>
              <w:t>20</w:t>
            </w:r>
            <w:r>
              <w:rPr>
                <w:rFonts w:hint="eastAsia" w:eastAsia="仿宋_GB2312"/>
                <w:b/>
                <w:szCs w:val="21"/>
                <w:lang w:val="en-US" w:eastAsia="zh-CN"/>
              </w:rPr>
              <w:t>23年度科技创业孵化载体高质量发展</w:t>
            </w:r>
            <w:r>
              <w:rPr>
                <w:rFonts w:hint="eastAsia" w:eastAsia="仿宋_GB2312"/>
                <w:b/>
                <w:szCs w:val="21"/>
              </w:rPr>
              <w:t>政策性奖励</w:t>
            </w:r>
          </w:p>
        </w:tc>
      </w:tr>
      <w:tr w14:paraId="365E95F1">
        <w:tblPrEx>
          <w:tblCellMar>
            <w:top w:w="0" w:type="dxa"/>
            <w:left w:w="108" w:type="dxa"/>
            <w:bottom w:w="0" w:type="dxa"/>
            <w:right w:w="108" w:type="dxa"/>
          </w:tblCellMar>
        </w:tblPrEx>
        <w:trPr>
          <w:trHeight w:val="177" w:hRule="atLeast"/>
        </w:trPr>
        <w:tc>
          <w:tcPr>
            <w:tcW w:w="1919" w:type="dxa"/>
            <w:tcBorders>
              <w:top w:val="nil"/>
              <w:left w:val="single" w:color="auto" w:sz="8" w:space="0"/>
              <w:bottom w:val="single" w:color="auto" w:sz="4" w:space="0"/>
              <w:right w:val="single" w:color="auto" w:sz="4" w:space="0"/>
            </w:tcBorders>
            <w:noWrap w:val="0"/>
            <w:vAlign w:val="center"/>
          </w:tcPr>
          <w:p w14:paraId="17C8473A">
            <w:pPr>
              <w:widowControl/>
              <w:jc w:val="center"/>
              <w:rPr>
                <w:rFonts w:hint="default" w:eastAsia="仿宋_GB2312"/>
                <w:b/>
                <w:szCs w:val="21"/>
                <w:lang w:val="en-US" w:eastAsia="zh-CN"/>
              </w:rPr>
            </w:pPr>
            <w:r>
              <w:rPr>
                <w:rFonts w:hint="eastAsia" w:eastAsia="仿宋_GB2312"/>
                <w:b/>
                <w:szCs w:val="21"/>
                <w:lang w:val="en-US" w:eastAsia="zh-CN"/>
              </w:rPr>
              <w:t>法人代表</w:t>
            </w:r>
          </w:p>
        </w:tc>
        <w:tc>
          <w:tcPr>
            <w:tcW w:w="2687" w:type="dxa"/>
            <w:tcBorders>
              <w:top w:val="nil"/>
              <w:left w:val="nil"/>
              <w:bottom w:val="single" w:color="auto" w:sz="4" w:space="0"/>
              <w:right w:val="single" w:color="auto" w:sz="4" w:space="0"/>
            </w:tcBorders>
            <w:noWrap w:val="0"/>
            <w:vAlign w:val="center"/>
          </w:tcPr>
          <w:p w14:paraId="697743F4">
            <w:pPr>
              <w:widowControl/>
              <w:jc w:val="center"/>
              <w:rPr>
                <w:rFonts w:eastAsia="仿宋_GB2312"/>
                <w:szCs w:val="21"/>
              </w:rPr>
            </w:pPr>
          </w:p>
        </w:tc>
        <w:tc>
          <w:tcPr>
            <w:tcW w:w="1559" w:type="dxa"/>
            <w:tcBorders>
              <w:top w:val="nil"/>
              <w:left w:val="nil"/>
              <w:bottom w:val="single" w:color="auto" w:sz="4" w:space="0"/>
              <w:right w:val="single" w:color="auto" w:sz="4" w:space="0"/>
            </w:tcBorders>
            <w:noWrap w:val="0"/>
            <w:vAlign w:val="center"/>
          </w:tcPr>
          <w:p w14:paraId="491E530D">
            <w:pPr>
              <w:widowControl/>
              <w:jc w:val="center"/>
              <w:rPr>
                <w:rFonts w:hint="default" w:eastAsia="仿宋_GB2312"/>
                <w:b/>
                <w:szCs w:val="21"/>
                <w:lang w:val="en-US" w:eastAsia="zh-CN"/>
              </w:rPr>
            </w:pPr>
            <w:r>
              <w:rPr>
                <w:rFonts w:hint="eastAsia" w:eastAsia="仿宋_GB2312"/>
                <w:b/>
                <w:szCs w:val="21"/>
                <w:lang w:val="en-US" w:eastAsia="zh-CN"/>
              </w:rPr>
              <w:t>联系人</w:t>
            </w:r>
          </w:p>
        </w:tc>
        <w:tc>
          <w:tcPr>
            <w:tcW w:w="2584" w:type="dxa"/>
            <w:tcBorders>
              <w:top w:val="nil"/>
              <w:left w:val="nil"/>
              <w:bottom w:val="single" w:color="auto" w:sz="4" w:space="0"/>
              <w:right w:val="single" w:color="auto" w:sz="8" w:space="0"/>
            </w:tcBorders>
            <w:noWrap w:val="0"/>
            <w:vAlign w:val="center"/>
          </w:tcPr>
          <w:p w14:paraId="635333D4">
            <w:pPr>
              <w:widowControl/>
              <w:jc w:val="left"/>
              <w:rPr>
                <w:rFonts w:eastAsia="仿宋_GB2312"/>
                <w:szCs w:val="21"/>
              </w:rPr>
            </w:pPr>
          </w:p>
        </w:tc>
      </w:tr>
      <w:tr w14:paraId="4FFF69AA">
        <w:tblPrEx>
          <w:tblCellMar>
            <w:top w:w="0" w:type="dxa"/>
            <w:left w:w="108" w:type="dxa"/>
            <w:bottom w:w="0" w:type="dxa"/>
            <w:right w:w="108" w:type="dxa"/>
          </w:tblCellMar>
        </w:tblPrEx>
        <w:trPr>
          <w:trHeight w:val="8614" w:hRule="atLeast"/>
        </w:trPr>
        <w:tc>
          <w:tcPr>
            <w:tcW w:w="8749" w:type="dxa"/>
            <w:gridSpan w:val="4"/>
            <w:tcBorders>
              <w:top w:val="nil"/>
              <w:left w:val="single" w:color="auto" w:sz="8" w:space="0"/>
              <w:bottom w:val="single" w:color="auto" w:sz="4" w:space="0"/>
              <w:right w:val="single" w:color="auto" w:sz="8" w:space="0"/>
            </w:tcBorders>
            <w:noWrap w:val="0"/>
            <w:vAlign w:val="center"/>
          </w:tcPr>
          <w:p w14:paraId="0ABE665C">
            <w:pPr>
              <w:autoSpaceDE w:val="0"/>
              <w:autoSpaceDN w:val="0"/>
              <w:adjustRightInd w:val="0"/>
              <w:snapToGrid w:val="0"/>
              <w:spacing w:line="400" w:lineRule="atLeast"/>
              <w:ind w:firstLine="420" w:firstLineChars="200"/>
              <w:jc w:val="left"/>
              <w:rPr>
                <w:rFonts w:eastAsia="仿宋_GB2312"/>
                <w:szCs w:val="21"/>
              </w:rPr>
            </w:pPr>
            <w:r>
              <w:rPr>
                <w:rFonts w:eastAsia="仿宋_GB2312"/>
                <w:szCs w:val="21"/>
              </w:rPr>
              <w:t>本项目申报单位法人、项目负责人承诺严格遵守《相城区</w:t>
            </w:r>
            <w:r>
              <w:rPr>
                <w:rFonts w:hint="eastAsia" w:eastAsia="仿宋_GB2312"/>
                <w:szCs w:val="21"/>
                <w:lang w:val="en-US" w:eastAsia="zh-CN"/>
              </w:rPr>
              <w:t>科技研发专项资金</w:t>
            </w:r>
            <w:r>
              <w:rPr>
                <w:rFonts w:eastAsia="仿宋_GB2312"/>
                <w:szCs w:val="21"/>
              </w:rPr>
              <w:t>管理办法》、《相城区科技项目管理办法》等有关规定，为项目实施提供承诺的条件，严格执行经费管理等相关规定。</w:t>
            </w:r>
          </w:p>
          <w:p w14:paraId="2B418654">
            <w:pPr>
              <w:widowControl/>
              <w:adjustRightInd w:val="0"/>
              <w:snapToGrid w:val="0"/>
              <w:spacing w:line="400" w:lineRule="atLeast"/>
              <w:ind w:firstLine="420" w:firstLineChars="200"/>
              <w:jc w:val="left"/>
              <w:rPr>
                <w:rFonts w:hint="eastAsia" w:eastAsia="仿宋_GB2312"/>
                <w:szCs w:val="21"/>
                <w:lang w:eastAsia="zh-CN"/>
              </w:rPr>
            </w:pPr>
            <w:r>
              <w:rPr>
                <w:rFonts w:eastAsia="仿宋_GB2312"/>
                <w:szCs w:val="21"/>
              </w:rPr>
              <w:t>1.本单位近三年信用状况良好，无严重失信行为；</w:t>
            </w:r>
          </w:p>
          <w:p w14:paraId="2CD5D57E">
            <w:pPr>
              <w:widowControl/>
              <w:adjustRightInd w:val="0"/>
              <w:snapToGrid w:val="0"/>
              <w:spacing w:line="400" w:lineRule="atLeast"/>
              <w:ind w:firstLine="420" w:firstLineChars="200"/>
              <w:jc w:val="left"/>
              <w:rPr>
                <w:rFonts w:hint="eastAsia" w:eastAsia="仿宋_GB2312"/>
                <w:szCs w:val="21"/>
                <w:lang w:eastAsia="zh-CN"/>
              </w:rPr>
            </w:pPr>
            <w:r>
              <w:rPr>
                <w:rFonts w:eastAsia="仿宋_GB2312"/>
                <w:szCs w:val="21"/>
              </w:rPr>
              <w:t xml:space="preserve">2.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 </w:t>
            </w:r>
          </w:p>
          <w:p w14:paraId="4E8F8F2D">
            <w:pPr>
              <w:widowControl/>
              <w:adjustRightInd w:val="0"/>
              <w:snapToGrid w:val="0"/>
              <w:spacing w:line="400" w:lineRule="atLeast"/>
              <w:ind w:firstLine="420" w:firstLineChars="200"/>
              <w:jc w:val="left"/>
              <w:rPr>
                <w:rFonts w:hint="eastAsia" w:eastAsia="仿宋_GB2312"/>
                <w:szCs w:val="21"/>
                <w:lang w:eastAsia="zh-CN"/>
              </w:rPr>
            </w:pPr>
            <w:r>
              <w:rPr>
                <w:rFonts w:eastAsia="仿宋_GB2312"/>
                <w:szCs w:val="21"/>
              </w:rPr>
              <w:t>3.专项资金获批后将按规定使用；</w:t>
            </w:r>
          </w:p>
          <w:p w14:paraId="48327E1A">
            <w:pPr>
              <w:widowControl/>
              <w:adjustRightInd w:val="0"/>
              <w:snapToGrid w:val="0"/>
              <w:spacing w:line="400" w:lineRule="atLeast"/>
              <w:ind w:firstLine="420" w:firstLineChars="200"/>
              <w:jc w:val="left"/>
              <w:rPr>
                <w:rFonts w:hint="eastAsia" w:eastAsia="仿宋_GB2312"/>
                <w:szCs w:val="21"/>
                <w:lang w:eastAsia="zh-CN"/>
              </w:rPr>
            </w:pPr>
            <w:r>
              <w:rPr>
                <w:rFonts w:eastAsia="仿宋_GB2312"/>
                <w:szCs w:val="21"/>
              </w:rPr>
              <w:t>4.为本项目出具鉴证报告的相关社会中介机构近三年信用状况良好，无严重失信行为；对相关社会中介机构履行政策宣传告知义务；</w:t>
            </w:r>
          </w:p>
          <w:p w14:paraId="1ABCE793">
            <w:pPr>
              <w:widowControl/>
              <w:adjustRightInd w:val="0"/>
              <w:snapToGrid w:val="0"/>
              <w:spacing w:line="400" w:lineRule="atLeast"/>
              <w:ind w:firstLine="420" w:firstLineChars="200"/>
              <w:jc w:val="left"/>
              <w:rPr>
                <w:rFonts w:eastAsia="仿宋_GB2312"/>
                <w:szCs w:val="21"/>
              </w:rPr>
            </w:pPr>
            <w:r>
              <w:rPr>
                <w:rFonts w:eastAsia="仿宋_GB2312"/>
                <w:szCs w:val="21"/>
              </w:rPr>
              <w:t>5.项目申报和实施期间，本单位对项目管理部门、主管部门、受理部门及所有相关工作人员严格遵守以下廉政纪律：1</w:t>
            </w:r>
            <w:r>
              <w:rPr>
                <w:rFonts w:hint="eastAsia" w:eastAsia="仿宋_GB2312"/>
                <w:szCs w:val="21"/>
                <w:lang w:val="en-US" w:eastAsia="zh-CN"/>
              </w:rPr>
              <w:t>.</w:t>
            </w:r>
            <w:r>
              <w:rPr>
                <w:rFonts w:eastAsia="仿宋_GB2312"/>
                <w:szCs w:val="21"/>
              </w:rPr>
              <w:t>不赠送礼金、各种消费卡、有价证券；2</w:t>
            </w:r>
            <w:r>
              <w:rPr>
                <w:rFonts w:hint="eastAsia" w:eastAsia="仿宋_GB2312"/>
                <w:szCs w:val="21"/>
                <w:lang w:val="en-US" w:eastAsia="zh-CN"/>
              </w:rPr>
              <w:t>.</w:t>
            </w:r>
            <w:r>
              <w:rPr>
                <w:rFonts w:eastAsia="仿宋_GB2312"/>
                <w:szCs w:val="21"/>
              </w:rPr>
              <w:t>不赠送任何实物礼品；3</w:t>
            </w:r>
            <w:r>
              <w:rPr>
                <w:rFonts w:hint="eastAsia" w:eastAsia="仿宋_GB2312"/>
                <w:szCs w:val="21"/>
                <w:lang w:val="en-US" w:eastAsia="zh-CN"/>
              </w:rPr>
              <w:t>.</w:t>
            </w:r>
            <w:r>
              <w:rPr>
                <w:rFonts w:eastAsia="仿宋_GB2312"/>
                <w:szCs w:val="21"/>
              </w:rPr>
              <w:t>不报销任何消费单据；4</w:t>
            </w:r>
            <w:r>
              <w:rPr>
                <w:rFonts w:hint="eastAsia" w:eastAsia="仿宋_GB2312"/>
                <w:szCs w:val="21"/>
                <w:lang w:val="en-US" w:eastAsia="zh-CN"/>
              </w:rPr>
              <w:t>.</w:t>
            </w:r>
            <w:r>
              <w:rPr>
                <w:rFonts w:eastAsia="仿宋_GB2312"/>
                <w:szCs w:val="21"/>
              </w:rPr>
              <w:t>不提供旅游、娱乐等活动；5</w:t>
            </w:r>
            <w:r>
              <w:rPr>
                <w:rFonts w:hint="eastAsia" w:eastAsia="仿宋_GB2312"/>
                <w:szCs w:val="21"/>
                <w:lang w:val="en-US" w:eastAsia="zh-CN"/>
              </w:rPr>
              <w:t>.</w:t>
            </w:r>
            <w:r>
              <w:rPr>
                <w:rFonts w:eastAsia="仿宋_GB2312"/>
                <w:szCs w:val="21"/>
              </w:rPr>
              <w:t>其它相关廉政纪律；</w:t>
            </w:r>
          </w:p>
          <w:p w14:paraId="1940E4A5">
            <w:pPr>
              <w:widowControl/>
              <w:adjustRightInd w:val="0"/>
              <w:snapToGrid w:val="0"/>
              <w:spacing w:line="400" w:lineRule="atLeast"/>
              <w:ind w:firstLine="420" w:firstLineChars="200"/>
              <w:jc w:val="left"/>
              <w:rPr>
                <w:rFonts w:eastAsia="仿宋_GB2312"/>
                <w:szCs w:val="21"/>
              </w:rPr>
            </w:pPr>
            <w:r>
              <w:rPr>
                <w:rFonts w:eastAsia="仿宋_GB2312"/>
                <w:szCs w:val="21"/>
              </w:rPr>
              <w:t>6.若遇项目管理部门、主管部门、受理部门及所有相关工作人员有向本单位索要钱物等违反廉政纪律现象的，本单位主动向纪检监察机构反映；</w:t>
            </w:r>
          </w:p>
          <w:p w14:paraId="0AA1D242">
            <w:pPr>
              <w:widowControl/>
              <w:adjustRightInd w:val="0"/>
              <w:snapToGrid w:val="0"/>
              <w:spacing w:line="400" w:lineRule="atLeast"/>
              <w:ind w:firstLine="420" w:firstLineChars="200"/>
              <w:jc w:val="left"/>
              <w:rPr>
                <w:rFonts w:eastAsia="仿宋_GB2312"/>
                <w:szCs w:val="21"/>
              </w:rPr>
            </w:pPr>
            <w:r>
              <w:rPr>
                <w:rFonts w:eastAsia="仿宋_GB2312"/>
                <w:szCs w:val="21"/>
              </w:rPr>
              <w:t>7.如有失实或失信行为，愿意根据相关规定，承担以下责任：1</w:t>
            </w:r>
            <w:r>
              <w:rPr>
                <w:rFonts w:hint="eastAsia" w:eastAsia="仿宋_GB2312"/>
                <w:szCs w:val="21"/>
                <w:lang w:val="en-US" w:eastAsia="zh-CN"/>
              </w:rPr>
              <w:t>.</w:t>
            </w:r>
            <w:r>
              <w:rPr>
                <w:rFonts w:eastAsia="仿宋_GB2312"/>
                <w:szCs w:val="21"/>
              </w:rPr>
              <w:t>取消项目评审资格；2</w:t>
            </w:r>
            <w:r>
              <w:rPr>
                <w:rFonts w:hint="eastAsia" w:eastAsia="仿宋_GB2312"/>
                <w:szCs w:val="21"/>
                <w:lang w:val="en-US" w:eastAsia="zh-CN"/>
              </w:rPr>
              <w:t>.</w:t>
            </w:r>
            <w:r>
              <w:rPr>
                <w:rFonts w:eastAsia="仿宋_GB2312"/>
                <w:szCs w:val="21"/>
              </w:rPr>
              <w:t>撤销项目立项，并收回财政经费；3</w:t>
            </w:r>
            <w:r>
              <w:rPr>
                <w:rFonts w:hint="eastAsia" w:eastAsia="仿宋_GB2312"/>
                <w:szCs w:val="21"/>
                <w:lang w:val="en-US" w:eastAsia="zh-CN"/>
              </w:rPr>
              <w:t>.</w:t>
            </w:r>
            <w:r>
              <w:rPr>
                <w:rFonts w:eastAsia="仿宋_GB2312"/>
                <w:szCs w:val="21"/>
              </w:rPr>
              <w:t>记入不良科技信用记录，并报送至市公共信用信息平台，列入社会信用记录，失信情况同意在相关政府门户网站公开；4</w:t>
            </w:r>
            <w:r>
              <w:rPr>
                <w:rFonts w:hint="eastAsia" w:eastAsia="仿宋_GB2312"/>
                <w:szCs w:val="21"/>
                <w:lang w:val="en-US" w:eastAsia="zh-CN"/>
              </w:rPr>
              <w:t>.</w:t>
            </w:r>
            <w:r>
              <w:rPr>
                <w:rFonts w:eastAsia="仿宋_GB2312"/>
                <w:szCs w:val="21"/>
              </w:rPr>
              <w:t>其它相关法律责任等。</w:t>
            </w:r>
          </w:p>
          <w:p w14:paraId="5B5B7A5D">
            <w:pPr>
              <w:widowControl/>
              <w:adjustRightInd w:val="0"/>
              <w:snapToGrid w:val="0"/>
              <w:spacing w:line="400" w:lineRule="atLeast"/>
              <w:jc w:val="left"/>
              <w:rPr>
                <w:rFonts w:hint="eastAsia" w:eastAsia="仿宋_GB2312"/>
                <w:szCs w:val="21"/>
                <w:lang w:eastAsia="zh-CN"/>
              </w:rPr>
            </w:pPr>
            <w:r>
              <w:rPr>
                <w:rFonts w:eastAsia="仿宋_GB2312"/>
                <w:szCs w:val="21"/>
              </w:rPr>
              <w:t xml:space="preserve">                                      </w:t>
            </w:r>
          </w:p>
          <w:p w14:paraId="62F1E89F">
            <w:pPr>
              <w:widowControl/>
              <w:adjustRightInd w:val="0"/>
              <w:snapToGrid w:val="0"/>
              <w:spacing w:line="400" w:lineRule="atLeast"/>
              <w:jc w:val="left"/>
              <w:rPr>
                <w:rFonts w:hint="eastAsia" w:eastAsia="仿宋_GB2312"/>
                <w:szCs w:val="21"/>
                <w:lang w:eastAsia="zh-CN"/>
              </w:rPr>
            </w:pPr>
            <w:r>
              <w:rPr>
                <w:rFonts w:eastAsia="仿宋_GB2312"/>
                <w:szCs w:val="21"/>
              </w:rPr>
              <w:t xml:space="preserve">                     法人代表（签名）                 （单位公章）</w:t>
            </w:r>
          </w:p>
          <w:p w14:paraId="69A0D90C">
            <w:pPr>
              <w:widowControl/>
              <w:adjustRightInd w:val="0"/>
              <w:snapToGrid w:val="0"/>
              <w:spacing w:line="400" w:lineRule="atLeast"/>
              <w:jc w:val="left"/>
              <w:rPr>
                <w:rFonts w:eastAsia="仿宋_GB2312"/>
                <w:szCs w:val="21"/>
              </w:rPr>
            </w:pPr>
            <w:r>
              <w:rPr>
                <w:rFonts w:eastAsia="仿宋_GB2312"/>
                <w:szCs w:val="21"/>
              </w:rPr>
              <w:t xml:space="preserve">                     日期：</w:t>
            </w:r>
          </w:p>
        </w:tc>
      </w:tr>
    </w:tbl>
    <w:p w14:paraId="61C3260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仿宋_GB2312"/>
          <w:sz w:val="18"/>
          <w:szCs w:val="18"/>
          <w:lang w:val="en-US" w:eastAsia="zh-CN"/>
        </w:rPr>
        <w:sectPr>
          <w:pgSz w:w="11906" w:h="16838"/>
          <w:pgMar w:top="1588" w:right="1588" w:bottom="1588" w:left="1588" w:header="0" w:footer="1134" w:gutter="0"/>
          <w:pgNumType w:fmt="decimal"/>
          <w:cols w:space="720" w:num="1"/>
          <w:docGrid w:type="lines" w:linePitch="312" w:charSpace="0"/>
        </w:sectPr>
      </w:pPr>
      <w:r>
        <w:rPr>
          <w:rFonts w:eastAsia="仿宋_GB2312"/>
          <w:sz w:val="18"/>
          <w:szCs w:val="18"/>
        </w:rPr>
        <w:t>填写说明：</w:t>
      </w:r>
      <w:r>
        <w:rPr>
          <w:rFonts w:ascii="Times New Roman" w:hAnsi="Times New Roman" w:eastAsia="仿宋_GB2312" w:cs="Times New Roman"/>
          <w:color w:val="auto"/>
          <w:sz w:val="18"/>
          <w:szCs w:val="18"/>
        </w:rPr>
        <w:t>“所在板块”填写项目申报单位的注册地，例如</w:t>
      </w:r>
      <w:r>
        <w:rPr>
          <w:rFonts w:ascii="Times New Roman" w:hAnsi="Times New Roman" w:eastAsia="仿宋_GB2312" w:cs="Times New Roman"/>
          <w:color w:val="auto"/>
          <w:kern w:val="0"/>
          <w:sz w:val="18"/>
          <w:szCs w:val="18"/>
          <w:lang w:val="en-US" w:eastAsia="zh-CN" w:bidi="ar-SA"/>
        </w:rPr>
        <w:t>：相城经开区</w:t>
      </w:r>
      <w:r>
        <w:rPr>
          <w:rFonts w:hint="eastAsia" w:eastAsia="仿宋_GB2312" w:cs="Times New Roman"/>
          <w:color w:val="auto"/>
          <w:kern w:val="0"/>
          <w:sz w:val="18"/>
          <w:szCs w:val="18"/>
          <w:lang w:val="en-US" w:eastAsia="zh-CN" w:bidi="ar-SA"/>
        </w:rPr>
        <w:t>、</w:t>
      </w:r>
      <w:r>
        <w:rPr>
          <w:rFonts w:ascii="Times New Roman" w:hAnsi="Times New Roman" w:eastAsia="仿宋_GB2312" w:cs="Times New Roman"/>
          <w:color w:val="auto"/>
          <w:kern w:val="0"/>
          <w:sz w:val="18"/>
          <w:szCs w:val="18"/>
          <w:lang w:val="en-US" w:eastAsia="zh-CN" w:bidi="ar-SA"/>
        </w:rPr>
        <w:t>相城高新区、高铁新城、度假区</w:t>
      </w:r>
      <w:r>
        <w:rPr>
          <w:rFonts w:hint="eastAsia" w:eastAsia="仿宋_GB2312" w:cs="Times New Roman"/>
          <w:color w:val="auto"/>
          <w:kern w:val="0"/>
          <w:sz w:val="18"/>
          <w:szCs w:val="18"/>
          <w:lang w:val="en-US" w:eastAsia="zh-CN" w:bidi="ar-SA"/>
        </w:rPr>
        <w:t>（阳澄湖镇）</w:t>
      </w:r>
      <w:r>
        <w:rPr>
          <w:rFonts w:hint="eastAsia" w:ascii="Times New Roman" w:hAnsi="Times New Roman" w:eastAsia="仿宋_GB2312" w:cs="Times New Roman"/>
          <w:color w:val="auto"/>
          <w:kern w:val="0"/>
          <w:sz w:val="18"/>
          <w:szCs w:val="18"/>
          <w:lang w:val="en-US" w:eastAsia="zh-CN" w:bidi="ar-SA"/>
        </w:rPr>
        <w:t>、</w:t>
      </w:r>
      <w:r>
        <w:rPr>
          <w:rFonts w:ascii="Times New Roman" w:hAnsi="Times New Roman" w:eastAsia="仿宋_GB2312" w:cs="Times New Roman"/>
          <w:color w:val="auto"/>
          <w:kern w:val="0"/>
          <w:sz w:val="18"/>
          <w:szCs w:val="18"/>
          <w:lang w:val="en-US" w:eastAsia="zh-CN" w:bidi="ar-SA"/>
        </w:rPr>
        <w:t>黄埭镇、渭塘镇、望亭镇、</w:t>
      </w:r>
      <w:r>
        <w:rPr>
          <w:rFonts w:hint="eastAsia" w:ascii="Times New Roman" w:hAnsi="Times New Roman" w:eastAsia="仿宋_GB2312" w:cs="Times New Roman"/>
          <w:color w:val="auto"/>
          <w:kern w:val="0"/>
          <w:sz w:val="18"/>
          <w:szCs w:val="18"/>
          <w:lang w:val="en-US" w:eastAsia="zh-CN" w:bidi="ar-SA"/>
        </w:rPr>
        <w:t>黄桥街道、太平街道</w:t>
      </w:r>
      <w:r>
        <w:rPr>
          <w:rFonts w:hint="eastAsia" w:eastAsia="仿宋_GB2312" w:cs="Times New Roman"/>
          <w:color w:val="auto"/>
          <w:kern w:val="0"/>
          <w:sz w:val="18"/>
          <w:szCs w:val="18"/>
          <w:lang w:val="en-US" w:eastAsia="zh-CN" w:bidi="ar-SA"/>
        </w:rPr>
        <w:t>。</w:t>
      </w:r>
    </w:p>
    <w:p w14:paraId="41DF23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ZjcxM2EzMTdkMzAyZDQxMjdmMGNhNTAwOTI0ZDAifQ=="/>
  </w:docVars>
  <w:rsids>
    <w:rsidRoot w:val="0A193217"/>
    <w:rsid w:val="0A193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2024-10-29T05:50:00Z</dcterms:created>
  <dc:creator>相城区企业全链服务中心</dc:creator>
  <cp:lastModifiedBy>相城区企业全链服务中心</cp:lastModifiedBy>
  <dcterms:modified xsi:type="dcterms:W3CDTF">2024-10-29T05:52:41Z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A618536B9BA54A0A933F9747617EE846_11</vt:lpwstr>
  </property>
</Properties>
</file>