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省级企业技术中心初评方法</w:t>
      </w:r>
    </w:p>
    <w:p>
      <w:pPr>
        <w:jc w:val="left"/>
        <w:rPr>
          <w:rFonts w:ascii="Times New Roman" w:hAnsi="Times New Roman" w:cs="Times New Roman"/>
          <w:b/>
          <w:sz w:val="30"/>
          <w:szCs w:val="30"/>
        </w:rPr>
      </w:pPr>
    </w:p>
    <w:p>
      <w:pPr>
        <w:widowControl/>
        <w:spacing w:line="540" w:lineRule="exact"/>
        <w:ind w:firstLine="60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省级企业技术中心的初评按以下程序进行：</w:t>
      </w:r>
    </w:p>
    <w:p>
      <w:pPr>
        <w:widowControl/>
        <w:spacing w:line="540" w:lineRule="exact"/>
        <w:ind w:left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kern w:val="0"/>
          <w:sz w:val="30"/>
          <w:szCs w:val="30"/>
        </w:rPr>
        <w:t>一、基础数据处理</w:t>
      </w:r>
    </w:p>
    <w:p>
      <w:pPr>
        <w:widowControl/>
        <w:spacing w:line="540" w:lineRule="exact"/>
        <w:ind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在进行正式评价之前，根据《江苏省省级企业技术中心工作指南（试行）》（苏工信创新〔2020〕258号，以下简称《工作指南》）明确的各项指标解释，结合申请报告中的相关附件及证明材料，对企业技术中心提交的“江苏省省级企业技术中心评价数据表”中各项数据值进行逐项核实，对证明材料缺失或无效的数据，按量予以核减，以最终的核定数据作为计算每项指标得分的依据。</w:t>
      </w:r>
    </w:p>
    <w:p>
      <w:pPr>
        <w:widowControl/>
        <w:spacing w:line="540" w:lineRule="exact"/>
        <w:ind w:left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kern w:val="0"/>
          <w:sz w:val="30"/>
          <w:szCs w:val="30"/>
        </w:rPr>
        <w:t>二、指标数值计算</w:t>
      </w:r>
    </w:p>
    <w:p>
      <w:pPr>
        <w:spacing w:line="540" w:lineRule="exact"/>
        <w:ind w:right="40"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在获得各项指标的核定数据后，可获得《江苏省省级企业技术中心评价指标体系》（见《工作指南》附件</w:t>
      </w:r>
      <w:r>
        <w:rPr>
          <w:rFonts w:ascii="Times New Roman" w:hAnsi="Times New Roman" w:eastAsia="Times New Roman" w:cs="Times New Roman"/>
          <w:kern w:val="0"/>
          <w:sz w:val="30"/>
          <w:szCs w:val="30"/>
        </w:rPr>
        <w:t>4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第一部分）中各项指标的数值。其中，有</w:t>
      </w:r>
      <w:r>
        <w:rPr>
          <w:rFonts w:ascii="Times New Roman" w:hAnsi="Times New Roman" w:eastAsia="Times New Roman" w:cs="Times New Roman"/>
          <w:kern w:val="0"/>
          <w:sz w:val="30"/>
          <w:szCs w:val="30"/>
        </w:rPr>
        <w:t>7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项指标的数值须通过计算获得。对于引入行业系数进行调节的“研发经费支出占主营业务收入的比重”、“新产品销售收入占主营业务收入的比重”、“新产品销售利润占利润总额的比重”</w:t>
      </w:r>
      <w:r>
        <w:rPr>
          <w:rFonts w:ascii="Times New Roman" w:hAnsi="Times New Roman" w:eastAsia="Times New Roman" w:cs="Times New Roman"/>
          <w:kern w:val="0"/>
          <w:sz w:val="30"/>
          <w:szCs w:val="30"/>
        </w:rPr>
        <w:t>3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项指标，在计算获得原始指标数值后，再乘以本企业所在行业的行业系数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</w:rPr>
        <w:t>附后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>）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作为计算相关指标得分的最终依据。</w:t>
      </w:r>
    </w:p>
    <w:p>
      <w:pPr>
        <w:spacing w:line="540" w:lineRule="exact"/>
        <w:ind w:left="600" w:right="4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以下是</w:t>
      </w:r>
      <w:r>
        <w:rPr>
          <w:rFonts w:ascii="Times New Roman" w:hAnsi="Times New Roman" w:eastAsia="Times New Roman" w:cs="Times New Roman"/>
          <w:kern w:val="0"/>
          <w:sz w:val="30"/>
          <w:szCs w:val="30"/>
        </w:rPr>
        <w:t>7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项指标具体的计算方法：</w:t>
      </w:r>
    </w:p>
    <w:p>
      <w:pPr>
        <w:spacing w:line="540" w:lineRule="exact"/>
        <w:ind w:firstLine="600" w:firstLineChars="20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（一）“研发人员人均研发经费支出指标”数值，由“研究与试验发展经费支出”核定数据除以“研究与试验发展人员数”核定</w:t>
      </w:r>
      <w:bookmarkStart w:id="0" w:name="page2"/>
      <w:bookmarkEnd w:id="0"/>
      <w:r>
        <w:rPr>
          <w:rFonts w:ascii="Times New Roman" w:hAnsi="Times New Roman" w:eastAsia="方正仿宋_GBK" w:cs="Times New Roman"/>
          <w:kern w:val="0"/>
          <w:sz w:val="30"/>
          <w:szCs w:val="30"/>
        </w:rPr>
        <w:t>数据得到；</w:t>
      </w:r>
    </w:p>
    <w:p>
      <w:pPr>
        <w:spacing w:line="540" w:lineRule="exact"/>
        <w:ind w:right="160" w:firstLine="600" w:firstLineChars="20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（二）“研发经费支出占主营业务收入的比重”数值，由“研究与试验发展经费支出”核定数据除以“主营业务收入”核定数据，再乘以本企业所在行业的行业系数得到；</w:t>
      </w:r>
    </w:p>
    <w:p>
      <w:pPr>
        <w:spacing w:line="540" w:lineRule="exact"/>
        <w:ind w:right="160" w:firstLine="600" w:firstLineChars="2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（三）“研发人员占职工总数的比重”数值，由“研究与试验发展人员数”核定数据除以“企业职工总数”核定数据得到；</w:t>
      </w:r>
    </w:p>
    <w:p>
      <w:pPr>
        <w:spacing w:line="540" w:lineRule="exact"/>
        <w:ind w:firstLine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（四）“研发周期三年以上的项目数占全部研发项目数的比重”数值，由“研发周期三年以上的项目数”核定数据除以“企业全部研发项目数”核定数据得到；</w:t>
      </w:r>
    </w:p>
    <w:p>
      <w:pPr>
        <w:spacing w:line="540" w:lineRule="exact"/>
        <w:ind w:right="160"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（五）“新产品销售收入占主营业务收入的比重”数值，由“新产品销售收入”核定数据除以“主营业务收入”核定数据，再乘以本企业所在行业的行业系数得到；</w:t>
      </w:r>
    </w:p>
    <w:p>
      <w:pPr>
        <w:spacing w:line="540" w:lineRule="exact"/>
        <w:ind w:right="160"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（六）“新产品销售利润占利润总额的比重”数值，由“新产品销售利润”核定数据除以“利润总额”核定数据，再乘以本企业所在行业的行业系数得到；</w:t>
      </w:r>
    </w:p>
    <w:p>
      <w:pPr>
        <w:widowControl/>
        <w:spacing w:line="540" w:lineRule="exact"/>
        <w:ind w:right="160"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（七）“利润率”数值，由“利润总额”核定数据除以“主营业务收入”核定数据得到。</w:t>
      </w:r>
    </w:p>
    <w:p>
      <w:pPr>
        <w:widowControl/>
        <w:spacing w:line="540" w:lineRule="exact"/>
        <w:ind w:left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kern w:val="0"/>
          <w:sz w:val="30"/>
          <w:szCs w:val="30"/>
        </w:rPr>
        <w:t>三、得分计算方法</w:t>
      </w:r>
    </w:p>
    <w:p>
      <w:pPr>
        <w:widowControl/>
        <w:spacing w:line="540" w:lineRule="exact"/>
        <w:ind w:firstLine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获得《江苏省省级企业技术中心评价指标体系》中各项指标的数值后，根据基本要求、满分要求以及相应的计算规则，计算出各项指标的得分，其总和就是该企业的评价得分。</w:t>
      </w:r>
    </w:p>
    <w:p>
      <w:pPr>
        <w:widowControl/>
        <w:spacing w:line="540" w:lineRule="exact"/>
        <w:ind w:left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楷体_GBK" w:cs="Times New Roman"/>
          <w:kern w:val="0"/>
          <w:sz w:val="30"/>
          <w:szCs w:val="30"/>
        </w:rPr>
        <w:t>（一）关于各项指标的基本要求和满分要求</w:t>
      </w:r>
    </w:p>
    <w:p>
      <w:pPr>
        <w:widowControl/>
        <w:spacing w:line="540" w:lineRule="exact"/>
        <w:ind w:right="160" w:firstLine="60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0" w:h="16838"/>
          <w:pgMar w:top="1440" w:right="1457" w:bottom="1128" w:left="1622" w:header="0" w:footer="454" w:gutter="0"/>
          <w:pgNumType w:start="5"/>
          <w:cols w:equalWidth="0" w:num="1">
            <w:col w:w="8823"/>
          </w:cols>
          <w:docGrid w:linePitch="286" w:charSpace="0"/>
        </w:sect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各项指标的基本要求、满分要求，由已认定省级企业技术中心历史数据测算得到，并根据江苏省企业技术中心创新发展总体情况进行动态调整。当前基本要求、满分要求的数值见下表。</w:t>
      </w:r>
    </w:p>
    <w:p>
      <w:pPr>
        <w:widowControl/>
        <w:spacing w:line="540" w:lineRule="exact"/>
        <w:jc w:val="left"/>
        <w:rPr>
          <w:rFonts w:ascii="Times New Roman" w:hAnsi="Times New Roman" w:eastAsia="宋体" w:cs="Times New Roman"/>
          <w:kern w:val="0"/>
          <w:sz w:val="30"/>
          <w:szCs w:val="30"/>
        </w:rPr>
        <w:sectPr>
          <w:type w:val="continuous"/>
          <w:pgSz w:w="11900" w:h="16838"/>
          <w:pgMar w:top="1440" w:right="9440" w:bottom="1129" w:left="1620" w:header="0" w:footer="0" w:gutter="0"/>
          <w:cols w:equalWidth="0" w:num="1">
            <w:col w:w="840"/>
          </w:cols>
        </w:sectPr>
      </w:pPr>
    </w:p>
    <w:p>
      <w:pPr>
        <w:widowControl/>
        <w:ind w:left="2160"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  <w:bookmarkStart w:id="1" w:name="page3"/>
      <w:bookmarkEnd w:id="1"/>
      <w:r>
        <w:rPr>
          <w:rFonts w:ascii="Times New Roman" w:hAnsi="Times New Roman" w:eastAsia="方正楷体_GBK" w:cs="Times New Roman"/>
          <w:kern w:val="0"/>
          <w:sz w:val="28"/>
          <w:szCs w:val="28"/>
        </w:rPr>
        <w:t>附表 各项指标基本要求和满分要求</w:t>
      </w:r>
    </w:p>
    <w:p>
      <w:pPr>
        <w:widowControl/>
        <w:spacing w:line="179" w:lineRule="exact"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66"/>
        <w:gridCol w:w="565"/>
        <w:gridCol w:w="4189"/>
        <w:gridCol w:w="840"/>
        <w:gridCol w:w="504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指标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指标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权重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三级指标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权重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基本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满分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投入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经费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1.研发人员人均研发经费支出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万元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2.研发经费支出占主营业务收入的比重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创新人才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3.研发人员占企业职工总数的比重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4.技术中心拥有的高级专家和博士人数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人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5.来技术中心从事研发工作的外聘专家人数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人月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条件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积累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6.企业拥有的全部有效专利数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7.企业拥有的全部有效发明专利数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8.企业全部研发项目数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9.研发周期三年以上的项目数占全部研发项目数的比重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平台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10.企业技术开发仪器设备原值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万元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11.省级以上研发平台数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个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</w:t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分档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12.通过国家（国际组织）、省认证的实验室和检测机构数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个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绩效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产出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13.当年被受理的专利申请数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14.当年被受理的发明专利申请数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15.最近三年主持和参加制定的国际、国家、行业和团体标准数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创新效益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16.新产品销售收入占主营业务收入的比重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17.新产品销售利润占利润总额的比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18.销售利润率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加分项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19.获国家和省科技奖励项目数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≤2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分档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 w:val="22"/>
        </w:rPr>
        <w:sectPr>
          <w:pgSz w:w="11900" w:h="16838"/>
          <w:pgMar w:top="1440" w:right="1700" w:bottom="1440" w:left="1620" w:header="0" w:footer="454" w:gutter="0"/>
          <w:cols w:equalWidth="0" w:num="1">
            <w:col w:w="8580"/>
          </w:cols>
          <w:docGrid w:linePitch="286" w:charSpace="0"/>
        </w:sectPr>
      </w:pPr>
    </w:p>
    <w:p>
      <w:pPr>
        <w:overflowPunct w:val="0"/>
        <w:snapToGrid w:val="0"/>
        <w:ind w:firstLine="482"/>
        <w:jc w:val="left"/>
        <w:rPr>
          <w:rFonts w:ascii="Times New Roman" w:hAnsi="Times New Roman" w:eastAsia="方正仿宋_GBK" w:cs="Times New Roman"/>
          <w:b/>
          <w:sz w:val="24"/>
          <w:szCs w:val="44"/>
        </w:rPr>
      </w:pPr>
      <w:r>
        <w:rPr>
          <w:rFonts w:ascii="Times New Roman" w:hAnsi="Times New Roman" w:eastAsia="方正仿宋_GBK" w:cs="Times New Roman"/>
          <w:b/>
          <w:sz w:val="24"/>
          <w:szCs w:val="44"/>
        </w:rPr>
        <w:t>指标说明：</w:t>
      </w:r>
    </w:p>
    <w:p>
      <w:pPr>
        <w:overflowPunct w:val="0"/>
        <w:snapToGrid w:val="0"/>
        <w:ind w:firstLine="482"/>
        <w:jc w:val="left"/>
        <w:rPr>
          <w:rFonts w:ascii="Times New Roman" w:hAnsi="Times New Roman" w:eastAsia="方正楷体_GBK" w:cs="Times New Roman"/>
          <w:b/>
          <w:kern w:val="0"/>
          <w:sz w:val="24"/>
          <w:szCs w:val="28"/>
        </w:rPr>
      </w:pPr>
      <w:r>
        <w:rPr>
          <w:rFonts w:ascii="Times New Roman" w:hAnsi="Times New Roman" w:eastAsia="方正楷体_GBK" w:cs="Times New Roman"/>
          <w:b/>
          <w:kern w:val="0"/>
          <w:sz w:val="24"/>
          <w:szCs w:val="28"/>
        </w:rPr>
        <w:t>11.省级以上研发平台数：</w:t>
      </w:r>
      <w:r>
        <w:rPr>
          <w:rFonts w:ascii="Times New Roman" w:hAnsi="Times New Roman" w:eastAsia="方正仿宋_GBK" w:cs="Times New Roman"/>
          <w:kern w:val="0"/>
          <w:sz w:val="24"/>
          <w:szCs w:val="28"/>
        </w:rPr>
        <w:t>企业获国家级研发平台数，每个加2分；获江苏省级研发平台数，每个加1分。</w:t>
      </w:r>
    </w:p>
    <w:p>
      <w:pPr>
        <w:overflowPunct w:val="0"/>
        <w:snapToGrid w:val="0"/>
        <w:ind w:firstLine="482"/>
        <w:rPr>
          <w:rFonts w:ascii="Times New Roman" w:hAnsi="Times New Roman" w:eastAsia="方正仿宋_GBK" w:cs="Times New Roman"/>
          <w:kern w:val="0"/>
          <w:sz w:val="24"/>
          <w:szCs w:val="28"/>
        </w:rPr>
      </w:pPr>
      <w:r>
        <w:rPr>
          <w:rFonts w:ascii="Times New Roman" w:hAnsi="Times New Roman" w:eastAsia="方正楷体_GBK" w:cs="Times New Roman"/>
          <w:b/>
          <w:kern w:val="0"/>
          <w:sz w:val="24"/>
          <w:szCs w:val="28"/>
        </w:rPr>
        <w:t>17.新产品销售利润占利润总额的比重：</w:t>
      </w:r>
      <w:r>
        <w:rPr>
          <w:rFonts w:ascii="Times New Roman" w:hAnsi="Times New Roman" w:eastAsia="方正仿宋_GBK" w:cs="Times New Roman"/>
          <w:kern w:val="0"/>
          <w:sz w:val="24"/>
          <w:szCs w:val="28"/>
        </w:rPr>
        <w:t>当新产品销售利润≤0时，该项</w:t>
      </w:r>
      <w:bookmarkStart w:id="2" w:name="_GoBack"/>
      <w:bookmarkEnd w:id="2"/>
      <w:r>
        <w:rPr>
          <w:rFonts w:ascii="Times New Roman" w:hAnsi="Times New Roman" w:eastAsia="方正仿宋_GBK" w:cs="Times New Roman"/>
          <w:kern w:val="0"/>
          <w:sz w:val="24"/>
          <w:szCs w:val="28"/>
        </w:rPr>
        <w:t>得分为0分；当新产品销售利润＞0且利润总额≤0时，该项得分为6分；其他情况按照指标得分计算规则评分。</w:t>
      </w:r>
    </w:p>
    <w:p>
      <w:pPr>
        <w:overflowPunct w:val="0"/>
        <w:snapToGrid w:val="0"/>
        <w:ind w:firstLine="482"/>
        <w:rPr>
          <w:rFonts w:ascii="Times New Roman" w:hAnsi="Times New Roman" w:eastAsia="方正仿宋_GBK" w:cs="Times New Roman"/>
          <w:kern w:val="0"/>
          <w:sz w:val="24"/>
          <w:szCs w:val="28"/>
        </w:rPr>
      </w:pPr>
      <w:r>
        <w:rPr>
          <w:rFonts w:ascii="Times New Roman" w:hAnsi="Times New Roman" w:eastAsia="方正楷体_GBK" w:cs="Times New Roman"/>
          <w:b/>
          <w:kern w:val="0"/>
          <w:sz w:val="24"/>
          <w:szCs w:val="28"/>
        </w:rPr>
        <w:t>18.销售利润率：</w:t>
      </w:r>
      <w:r>
        <w:rPr>
          <w:rFonts w:ascii="Times New Roman" w:hAnsi="Times New Roman" w:eastAsia="方正仿宋_GBK" w:cs="Times New Roman"/>
          <w:kern w:val="0"/>
          <w:sz w:val="24"/>
          <w:szCs w:val="28"/>
        </w:rPr>
        <w:t>当利润总额≤0时，该项得分为0分；其他情况按照指标得分计算规则评分。</w:t>
      </w:r>
    </w:p>
    <w:p>
      <w:pPr>
        <w:overflowPunct w:val="0"/>
        <w:snapToGrid w:val="0"/>
        <w:ind w:firstLine="482"/>
        <w:rPr>
          <w:rFonts w:ascii="Times New Roman" w:hAnsi="Times New Roman" w:eastAsia="方正仿宋_GBK" w:cs="Times New Roman"/>
          <w:kern w:val="0"/>
          <w:sz w:val="24"/>
          <w:szCs w:val="28"/>
        </w:rPr>
      </w:pPr>
      <w:r>
        <w:rPr>
          <w:rFonts w:ascii="Times New Roman" w:hAnsi="Times New Roman" w:eastAsia="方正楷体_GBK" w:cs="Times New Roman"/>
          <w:b/>
          <w:kern w:val="0"/>
          <w:sz w:val="24"/>
          <w:szCs w:val="28"/>
        </w:rPr>
        <w:t>19.获国家和省科技奖励项目数：</w:t>
      </w:r>
      <w:r>
        <w:rPr>
          <w:rFonts w:ascii="Times New Roman" w:hAnsi="Times New Roman" w:eastAsia="方正仿宋_GBK" w:cs="Times New Roman"/>
          <w:kern w:val="0"/>
          <w:sz w:val="24"/>
          <w:szCs w:val="28"/>
        </w:rPr>
        <w:t>企业作为主要完成单位或企业员工作为主要完成人获国家科技奖励，加2分；获江苏省科技奖励，每项加1分。</w:t>
      </w:r>
    </w:p>
    <w:p>
      <w:pPr>
        <w:widowControl/>
        <w:rPr>
          <w:rFonts w:ascii="Times New Roman" w:hAnsi="Times New Roman" w:eastAsia="宋体" w:cs="Times New Roman"/>
        </w:rPr>
      </w:pPr>
    </w:p>
    <w:p>
      <w:pPr>
        <w:widowControl/>
        <w:spacing w:line="239" w:lineRule="auto"/>
        <w:ind w:left="600"/>
        <w:jc w:val="left"/>
        <w:rPr>
          <w:rFonts w:ascii="Times New Roman" w:hAnsi="Times New Roman" w:eastAsia="方正楷体_GBK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kern w:val="0"/>
          <w:sz w:val="30"/>
          <w:szCs w:val="30"/>
        </w:rPr>
        <w:t>（</w:t>
      </w:r>
      <w:r>
        <w:rPr>
          <w:rFonts w:ascii="Times New Roman" w:hAnsi="Times New Roman" w:eastAsia="方正楷体_GBK" w:cs="Times New Roman"/>
          <w:kern w:val="0"/>
          <w:sz w:val="30"/>
          <w:szCs w:val="30"/>
        </w:rPr>
        <w:t>二</w:t>
      </w:r>
      <w:r>
        <w:rPr>
          <w:rFonts w:hint="eastAsia" w:ascii="Times New Roman" w:hAnsi="Times New Roman" w:eastAsia="方正楷体_GBK" w:cs="Times New Roman"/>
          <w:kern w:val="0"/>
          <w:sz w:val="30"/>
          <w:szCs w:val="30"/>
        </w:rPr>
        <w:t>）</w:t>
      </w:r>
      <w:r>
        <w:rPr>
          <w:rFonts w:ascii="Times New Roman" w:hAnsi="Times New Roman" w:eastAsia="方正楷体_GBK" w:cs="Times New Roman"/>
          <w:kern w:val="0"/>
          <w:sz w:val="30"/>
          <w:szCs w:val="30"/>
        </w:rPr>
        <w:t>指标得分计算规则</w:t>
      </w:r>
    </w:p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napToGrid w:val="0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drawing>
          <wp:inline distT="0" distB="0" distL="0" distR="0">
            <wp:extent cx="4648200" cy="2649855"/>
            <wp:effectExtent l="0" t="0" r="0" b="0"/>
            <wp:docPr id="1" name="图片 1" descr="C:\Users\ZhangHui\AppData\Local\Temp\15691626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Hui\AppData\Local\Temp\156916262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51" cy="265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jc w:val="center"/>
        <w:rPr>
          <w:rFonts w:ascii="Times New Roman" w:hAnsi="Times New Roman" w:eastAsia="方正黑体_GBK" w:cs="Times New Roman"/>
          <w:b/>
          <w:sz w:val="28"/>
          <w:szCs w:val="28"/>
        </w:rPr>
      </w:pPr>
      <w:r>
        <w:rPr>
          <w:rFonts w:ascii="Times New Roman" w:hAnsi="Times New Roman" w:eastAsia="方正黑体_GBK" w:cs="Times New Roman"/>
          <w:kern w:val="0"/>
          <w:sz w:val="28"/>
          <w:szCs w:val="28"/>
        </w:rPr>
        <w:t>分段线性插值算法示意图</w:t>
      </w:r>
    </w:p>
    <w:p>
      <w:pPr>
        <w:widowControl/>
        <w:spacing w:line="540" w:lineRule="exact"/>
        <w:ind w:right="159" w:firstLine="601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1．指标数值大于或等于满分要求时，指标得分为满分，即指标得分等于上表中的权重；</w:t>
      </w:r>
    </w:p>
    <w:p>
      <w:pPr>
        <w:widowControl/>
        <w:spacing w:line="540" w:lineRule="exact"/>
        <w:ind w:right="159" w:firstLine="601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2．指标数值等于基本要求时，指标得分为权重的60%；</w:t>
      </w:r>
    </w:p>
    <w:p>
      <w:pPr>
        <w:widowControl/>
        <w:spacing w:line="540" w:lineRule="exact"/>
        <w:ind w:right="159" w:firstLine="601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3．指标数值为0时，指标得分为0；</w:t>
      </w:r>
    </w:p>
    <w:p>
      <w:pPr>
        <w:widowControl/>
        <w:spacing w:line="540" w:lineRule="exact"/>
        <w:ind w:right="159" w:firstLine="601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4．指标数值处于0和基本要求之间时，指标得分按线性插值的方法计算，具体计算公式为：</w:t>
      </w:r>
    </w:p>
    <w:p>
      <w:pPr>
        <w:widowControl/>
        <w:snapToGrid w:val="0"/>
        <w:jc w:val="center"/>
        <w:rPr>
          <w:rFonts w:ascii="Times New Roman" w:hAnsi="Times New Roman" w:eastAsia="方正黑体_GBK" w:cs="Times New Roman"/>
          <w:kern w:val="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eastAsia="方正黑体_GBK" w:cs="Times New Roman"/>
              <w:kern w:val="0"/>
              <w:sz w:val="28"/>
              <w:szCs w:val="28"/>
            </w:rPr>
            <m:t>指标得分=</m:t>
          </m:r>
          <m:f>
            <m:fP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指标数值</m:t>
              </m: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基本要求</m:t>
              </m: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方正黑体_GBK" w:cs="Times New Roman"/>
              <w:kern w:val="0"/>
              <w:sz w:val="28"/>
              <w:szCs w:val="28"/>
            </w:rPr>
            <m:t>×权重的60%</m:t>
          </m:r>
        </m:oMath>
      </m:oMathPara>
    </w:p>
    <w:p>
      <w:pPr>
        <w:widowControl/>
        <w:spacing w:line="540" w:lineRule="exact"/>
        <w:ind w:right="159" w:firstLine="601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5．指标数值处于基本要求和满分要求之间时，指标得分按线性插值的方法计算，具体计算公式为：</w:t>
      </w:r>
    </w:p>
    <w:p>
      <w:pPr>
        <w:widowControl/>
        <w:snapToGrid w:val="0"/>
        <w:jc w:val="center"/>
        <w:rPr>
          <w:rFonts w:ascii="Times New Roman" w:hAnsi="Times New Roman" w:eastAsia="方正仿宋_GBK" w:cs="Times New Roman"/>
          <w:kern w:val="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eastAsia="方正黑体_GBK" w:cs="Times New Roman"/>
              <w:kern w:val="0"/>
              <w:sz w:val="28"/>
              <w:szCs w:val="28"/>
            </w:rPr>
            <m:t>指标得分=</m:t>
          </m:r>
          <m:f>
            <m:fP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指标数值</m:t>
              </m:r>
              <m:r>
                <m:rPr>
                  <m:sty m:val="p"/>
                </m:rPr>
                <w:rPr>
                  <w:rFonts w:ascii="Cambria Math" w:hAnsi="Cambria Math" w:eastAsia="微软雅黑" w:cs="Times New Roman"/>
                  <w:kern w:val="0"/>
                  <w:sz w:val="28"/>
                  <w:szCs w:val="28"/>
                </w:rPr>
                <m:t>−</m:t>
              </m:r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基本要求</m:t>
              </m: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满分要求</m:t>
              </m:r>
              <m:r>
                <m:rPr>
                  <m:sty m:val="p"/>
                </m:rPr>
                <w:rPr>
                  <w:rFonts w:ascii="Cambria Math" w:hAnsi="Cambria Math" w:eastAsia="微软雅黑" w:cs="Times New Roman"/>
                  <w:kern w:val="0"/>
                  <w:sz w:val="28"/>
                  <w:szCs w:val="28"/>
                </w:rPr>
                <m:t>−</m:t>
              </m:r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基本要求</m:t>
              </m: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方正黑体_GBK" w:cs="Times New Roman"/>
              <w:kern w:val="0"/>
              <w:sz w:val="28"/>
              <w:szCs w:val="28"/>
            </w:rPr>
            <m:t>×权重的40%+权重的60%</m:t>
          </m:r>
        </m:oMath>
      </m:oMathPara>
    </w:p>
    <w:p>
      <w:pPr>
        <w:widowControl/>
        <w:snapToGrid w:val="0"/>
        <w:spacing w:line="360" w:lineRule="auto"/>
        <w:ind w:left="944" w:leftChars="271" w:hanging="375" w:hangingChars="134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239" w:lineRule="auto"/>
        <w:ind w:left="600"/>
        <w:jc w:val="left"/>
        <w:rPr>
          <w:rFonts w:ascii="Times New Roman" w:hAnsi="Times New Roman" w:eastAsia="方正楷体_GBK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kern w:val="0"/>
          <w:sz w:val="30"/>
          <w:szCs w:val="30"/>
        </w:rPr>
        <w:t>（</w:t>
      </w:r>
      <w:r>
        <w:rPr>
          <w:rFonts w:ascii="Times New Roman" w:hAnsi="Times New Roman" w:eastAsia="方正楷体_GBK" w:cs="Times New Roman"/>
          <w:kern w:val="0"/>
          <w:sz w:val="30"/>
          <w:szCs w:val="30"/>
        </w:rPr>
        <w:t>三</w:t>
      </w:r>
      <w:r>
        <w:rPr>
          <w:rFonts w:hint="eastAsia" w:ascii="Times New Roman" w:hAnsi="Times New Roman" w:eastAsia="方正楷体_GBK" w:cs="Times New Roman"/>
          <w:kern w:val="0"/>
          <w:sz w:val="30"/>
          <w:szCs w:val="30"/>
        </w:rPr>
        <w:t>）</w:t>
      </w:r>
      <w:r>
        <w:rPr>
          <w:rFonts w:ascii="Times New Roman" w:hAnsi="Times New Roman" w:eastAsia="方正楷体_GBK" w:cs="Times New Roman"/>
          <w:kern w:val="0"/>
          <w:sz w:val="30"/>
          <w:szCs w:val="30"/>
        </w:rPr>
        <w:t>《评价指标体系》行业系数</w:t>
      </w:r>
    </w:p>
    <w:p>
      <w:pPr>
        <w:widowControl/>
        <w:spacing w:line="388" w:lineRule="auto"/>
        <w:ind w:right="160" w:firstLine="600"/>
        <w:jc w:val="left"/>
        <w:rPr>
          <w:rFonts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28"/>
          <w:szCs w:val="28"/>
        </w:rPr>
        <w:t>当前行业系数见下表：</w:t>
      </w:r>
    </w:p>
    <w:tbl>
      <w:tblPr>
        <w:tblStyle w:val="5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690"/>
        <w:gridCol w:w="1515"/>
        <w:gridCol w:w="150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tblHeader/>
          <w:jc w:val="center"/>
        </w:trPr>
        <w:tc>
          <w:tcPr>
            <w:tcW w:w="7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行业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代码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行业名称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研发经费支出占主营业务收入的比重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新产品销售收入占主营业务收入的比重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新产品销售利润占利润总额的比重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农副食品加工业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14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食品制造业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纺织业、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服饰业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木材加工和木、竹、藤、棕、草制品业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造纸和纸制品业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24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文教、工美、体育和娱乐用品制造业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化学原料和化学制品制造业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医药制造业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化学纤维制造业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橡胶和塑料制品业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非金属矿物制品业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黑色金属冶炼和压延加工业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1.5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有色金属冶炼和压延加工业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1.4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金属制品业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通用设备制造业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专用设备制造业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汽车制造业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铁路、船舶、航空航天和其他运输设备制造业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电气机械和器材制造业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计算机、通信和其他电子设备制造业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仪器仪表制造业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77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生态保护和环境治理业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1.5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</w:tbl>
    <w:p>
      <w:pPr>
        <w:widowControl/>
        <w:snapToGrid w:val="0"/>
        <w:rPr>
          <w:rFonts w:ascii="Times New Roman" w:hAnsi="Times New Roman" w:eastAsia="宋体" w:cs="Times New Roman"/>
          <w:b/>
          <w:kern w:val="0"/>
          <w:sz w:val="11"/>
          <w:szCs w:val="11"/>
        </w:rPr>
      </w:pPr>
    </w:p>
    <w:p>
      <w:pPr>
        <w:widowControl/>
        <w:snapToGrid w:val="0"/>
        <w:ind w:firstLine="482" w:firstLineChars="200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说明：</w:t>
      </w:r>
    </w:p>
    <w:p>
      <w:pPr>
        <w:widowControl/>
        <w:snapToGrid w:val="0"/>
        <w:ind w:firstLine="480" w:firstLineChars="200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1．由于不同行业在研发投入与产出方面存在较大差异，技术中心评价时，对不同行业企业“研发经费支出占主营业务收入的比重”、“新产品销售收入占主营业务收入的比重”、“新产品销售利润占利润总额的比重”三个指标引入行业系数加以调节。</w:t>
      </w:r>
    </w:p>
    <w:p>
      <w:pPr>
        <w:widowControl/>
        <w:snapToGrid w:val="0"/>
        <w:ind w:firstLine="480" w:firstLineChars="200"/>
        <w:rPr>
          <w:rFonts w:ascii="Times New Roman" w:hAnsi="Times New Roman" w:eastAsia="方正仿宋_GBK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2．企业填报数据表时无需考虑行业系数，按实际数据填报。评价时，根据企业填报的实际数据计算得出上述指标的比重，再乘以行业系数，得出指标的评价值。</w:t>
      </w:r>
    </w:p>
    <w:p>
      <w:pPr>
        <w:widowControl/>
        <w:snapToGrid w:val="0"/>
        <w:ind w:firstLine="480" w:firstLineChars="200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3．</w:t>
      </w:r>
      <w:r>
        <w:rPr>
          <w:rFonts w:ascii="Times New Roman" w:hAnsi="Times New Roman" w:eastAsia="方正仿宋_GBK" w:cs="Times New Roman"/>
          <w:bCs/>
          <w:kern w:val="0"/>
          <w:sz w:val="24"/>
          <w:szCs w:val="24"/>
        </w:rPr>
        <w:t>行业系数表中的“其他”行业包括“交通运输、仓储和邮政业”、“煤炭开采和洗选业”、“石油和天然气开采业”、“废弃资源综合利用业”、“建筑装饰、装修和其他建筑业”等行业。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8980589"/>
    </w:sdtPr>
    <w:sdtEndPr>
      <w:rPr>
        <w:rFonts w:ascii="Times New Roman" w:hAnsi="Times New Roman" w:eastAsia="方正仿宋_GBK" w:cs="Times New Roman"/>
        <w:sz w:val="24"/>
        <w:szCs w:val="24"/>
      </w:rPr>
    </w:sdtEndPr>
    <w:sdtContent>
      <w:p>
        <w:pPr>
          <w:pStyle w:val="3"/>
          <w:ind w:right="360"/>
          <w:jc w:val="right"/>
          <w:rPr>
            <w:rFonts w:ascii="Times New Roman" w:hAnsi="Times New Roman" w:eastAsia="方正仿宋_GBK" w:cs="Times New Roman"/>
            <w:sz w:val="24"/>
            <w:szCs w:val="24"/>
          </w:rPr>
        </w:pPr>
        <w:r>
          <w:rPr>
            <w:rFonts w:ascii="Times New Roman" w:hAnsi="Times New Roman" w:eastAsia="方正仿宋_GBK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eastAsia="方正仿宋_GBK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方正仿宋_GBK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方正仿宋_GBK" w:cs="Times New Roman"/>
            <w:sz w:val="24"/>
            <w:szCs w:val="24"/>
            <w:lang w:val="zh-CN"/>
          </w:rPr>
          <w:t>9</w:t>
        </w:r>
        <w:r>
          <w:rPr>
            <w:rFonts w:ascii="Times New Roman" w:hAnsi="Times New Roman" w:eastAsia="方正仿宋_GBK" w:cs="Times New Roman"/>
            <w:sz w:val="24"/>
            <w:szCs w:val="24"/>
          </w:rPr>
          <w:fldChar w:fldCharType="end"/>
        </w:r>
        <w:r>
          <w:rPr>
            <w:rFonts w:ascii="Times New Roman" w:hAnsi="Times New Roman" w:eastAsia="方正仿宋_GBK" w:cs="Times New Roman"/>
            <w:sz w:val="24"/>
            <w:szCs w:val="24"/>
          </w:rPr>
          <w:t xml:space="preserve"> —</w:t>
        </w:r>
      </w:p>
    </w:sdtContent>
  </w:sdt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8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556773543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10"/>
        <w:tab w:val="left" w:pos="6236"/>
      </w:tabs>
    </w:pPr>
    <w:r>
      <w:tab/>
    </w:r>
    <w:r>
      <w:tab/>
    </w:r>
    <w:sdt>
      <w:sdtPr>
        <w:id w:val="492923372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sdtContent>
    </w:sdt>
    <w:r>
      <w:tab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YjQ5MjhmZTM4MTc1Yzc3Zjk5ZWE0ODQ5NjM5MjQifQ=="/>
  </w:docVars>
  <w:rsids>
    <w:rsidRoot w:val="00E32194"/>
    <w:rsid w:val="000227AF"/>
    <w:rsid w:val="000E6162"/>
    <w:rsid w:val="0012573A"/>
    <w:rsid w:val="00226B68"/>
    <w:rsid w:val="00247D5E"/>
    <w:rsid w:val="00272D48"/>
    <w:rsid w:val="002D563F"/>
    <w:rsid w:val="00505442"/>
    <w:rsid w:val="00534C17"/>
    <w:rsid w:val="00557F64"/>
    <w:rsid w:val="0056191E"/>
    <w:rsid w:val="005926FA"/>
    <w:rsid w:val="00670AB6"/>
    <w:rsid w:val="006C59EA"/>
    <w:rsid w:val="006E7810"/>
    <w:rsid w:val="006F4179"/>
    <w:rsid w:val="00773F9C"/>
    <w:rsid w:val="00835E38"/>
    <w:rsid w:val="008C2416"/>
    <w:rsid w:val="008F1FA4"/>
    <w:rsid w:val="0098429B"/>
    <w:rsid w:val="009C5A6C"/>
    <w:rsid w:val="009F773F"/>
    <w:rsid w:val="00A04D40"/>
    <w:rsid w:val="00A266DF"/>
    <w:rsid w:val="00A51B02"/>
    <w:rsid w:val="00AE4F14"/>
    <w:rsid w:val="00B02153"/>
    <w:rsid w:val="00B14A04"/>
    <w:rsid w:val="00C302A1"/>
    <w:rsid w:val="00C43B69"/>
    <w:rsid w:val="00D67407"/>
    <w:rsid w:val="00E263B4"/>
    <w:rsid w:val="00E279A7"/>
    <w:rsid w:val="00E32194"/>
    <w:rsid w:val="00EF038B"/>
    <w:rsid w:val="00F542CA"/>
    <w:rsid w:val="00FE0230"/>
    <w:rsid w:val="05343857"/>
    <w:rsid w:val="178E2321"/>
    <w:rsid w:val="296A5420"/>
    <w:rsid w:val="3D1D3D24"/>
    <w:rsid w:val="5CCD42DA"/>
    <w:rsid w:val="99DEB7B8"/>
    <w:rsid w:val="DEFFEFD5"/>
    <w:rsid w:val="EFF3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481</Words>
  <Characters>2746</Characters>
  <Lines>22</Lines>
  <Paragraphs>6</Paragraphs>
  <TotalTime>55</TotalTime>
  <ScaleCrop>false</ScaleCrop>
  <LinksUpToDate>false</LinksUpToDate>
  <CharactersWithSpaces>3221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2022-03-21T06:19:00Z</dcterms:created>
  <dc:creator>PC</dc:creator>
  <cp:lastModifiedBy>WPS_1689859595</cp:lastModifiedBy>
  <cp:lastPrinted>2022-03-21T19:48:00Z</cp:lastPrinted>
  <dcterms:modified xsi:type="dcterms:W3CDTF">2024-05-19T13:50:11Z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2C225C3F87004B4FB21699D05A9A808D_13</vt:lpwstr>
  </property>
</Properties>
</file>