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djustRightInd w:val="0"/>
        <w:snapToGrid w:val="0"/>
        <w:spacing w:line="360" w:lineRule="auto"/>
        <w:jc w:val="left"/>
        <w:rPr>
          <w:rFonts w:hint="default" w:ascii="Times New Roman" w:hAnsi="Times New Roman" w:eastAsia="宋体" w:cs="Times New Roman"/>
          <w:b/>
          <w:kern w:val="44"/>
          <w:sz w:val="44"/>
          <w:szCs w:val="44"/>
        </w:rPr>
      </w:pPr>
      <w:r>
        <w:rPr>
          <w:rFonts w:hint="default" w:ascii="Times New Roman" w:hAnsi="Times New Roman" w:eastAsia="仿宋_GB2312" w:cs="Times New Roman"/>
          <w:color w:val="000000"/>
          <w:sz w:val="32"/>
          <w:szCs w:val="32"/>
        </w:rPr>
        <w:t>附件</w:t>
      </w:r>
    </w:p>
    <w:p>
      <w:pPr>
        <w:spacing w:line="480" w:lineRule="atLeast"/>
        <w:jc w:val="center"/>
        <w:rPr>
          <w:rFonts w:hint="default" w:ascii="Times New Roman" w:hAnsi="Times New Roman" w:eastAsia="宋体" w:cs="Times New Roman"/>
          <w:b/>
          <w:kern w:val="44"/>
          <w:sz w:val="44"/>
          <w:szCs w:val="44"/>
        </w:rPr>
      </w:pPr>
      <w:r>
        <w:rPr>
          <w:rFonts w:hint="default" w:ascii="Times New Roman" w:hAnsi="Times New Roman" w:eastAsia="宋体" w:cs="Times New Roman"/>
          <w:b/>
          <w:kern w:val="44"/>
          <w:sz w:val="44"/>
          <w:szCs w:val="44"/>
        </w:rPr>
        <w:t>2023年度苏州市成果转化平台建设项目</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center"/>
        <w:textAlignment w:val="auto"/>
        <w:rPr>
          <w:rFonts w:hint="default" w:ascii="Times New Roman" w:hAnsi="Times New Roman" w:eastAsia="宋体" w:cs="Times New Roman"/>
          <w:b/>
          <w:kern w:val="44"/>
          <w:sz w:val="44"/>
          <w:szCs w:val="44"/>
        </w:rPr>
      </w:pPr>
      <w:r>
        <w:rPr>
          <w:rFonts w:hint="default" w:ascii="Times New Roman" w:hAnsi="Times New Roman" w:eastAsia="宋体" w:cs="Times New Roman"/>
          <w:b/>
          <w:kern w:val="44"/>
          <w:sz w:val="44"/>
          <w:szCs w:val="44"/>
        </w:rPr>
        <w:t>受理名单</w:t>
      </w:r>
    </w:p>
    <w:tbl>
      <w:tblPr>
        <w:tblStyle w:val="3"/>
        <w:tblW w:w="89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4200"/>
        <w:gridCol w:w="4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项目</w:t>
            </w:r>
            <w:r>
              <w:rPr>
                <w:rFonts w:hint="eastAsia" w:ascii="Times New Roman" w:hAnsi="Times New Roman" w:eastAsia="宋体" w:cs="Times New Roman"/>
                <w:b/>
                <w:bCs/>
                <w:i w:val="0"/>
                <w:iCs w:val="0"/>
                <w:color w:val="000000"/>
                <w:kern w:val="0"/>
                <w:sz w:val="24"/>
                <w:szCs w:val="24"/>
                <w:u w:val="none"/>
                <w:lang w:val="en-US" w:eastAsia="zh-CN" w:bidi="ar"/>
              </w:rPr>
              <w:t>名称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eastAsia" w:ascii="Times New Roman" w:hAnsi="Times New Roman" w:eastAsia="宋体" w:cs="Times New Roman"/>
                <w:b/>
                <w:bCs/>
                <w:i w:val="0"/>
                <w:iCs w:val="0"/>
                <w:color w:val="000000"/>
                <w:kern w:val="0"/>
                <w:sz w:val="24"/>
                <w:szCs w:val="24"/>
                <w:u w:val="none"/>
                <w:lang w:val="en-US" w:eastAsia="zh-CN" w:bidi="ar"/>
              </w:rPr>
              <w:t>申报</w:t>
            </w:r>
            <w:r>
              <w:rPr>
                <w:rFonts w:hint="default" w:ascii="Times New Roman" w:hAnsi="Times New Roman" w:eastAsia="宋体" w:cs="Times New Roman"/>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95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一、概念验证中心建设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苏州市集萃智能液晶技术概念验证中心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江苏集萃智能液晶科技有限公司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苏州市声学概念验证中心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江苏省声学产业技术创新中心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苏州市思萃免疫所新靶点发现和新药开发概念验证中心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苏州思萃免疫技术研究所有限公司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苏州市新视界智能纤维与运动健康概念验证中心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江苏新视界先进功能纤维创新中心有限公司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苏州市清汽研智能车联网概念验证中心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清华大学苏州汽车研究院（吴江）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苏州市苏州城市学院智能载运装备及机器人概念验证中心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苏州市河海大学苏州研究院低碳环保概念验证中心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河海大学苏州研究院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苏州市集萃微纳所微纳自动化系统与装备技术概念验证中心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江苏集萃微纳自动化系统与装备技术研究所有限公司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苏州市集萃功能材料所新材料及功能材料与应用概念验证中心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江苏集萃功能材料研究所有限公司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苏州市博士科技大数据概念验证中心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苏州博士创新技术转移有限公司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苏州市湖大苏州研究院整车先进设计制造与测控技术概念验证中心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湖南大学苏州研究院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苏州市苏大绿氢负碳技术概念验证中心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苏州市苏大集成化装备与工业母机概念验证中心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苏州市苏大微纳细胞诊疗智能装备概念验证中心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苏州市上海大学创新中心生物医用材料概念验证中心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苏州上海大学创新中心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苏州市牛津大学苏州高研院生物材料概念验证中心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牛津大学（苏州）科技有限公司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苏州市长三角生物医药概念验证中心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苏州科技企业股权服务有限公司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苏州市西浦人工智能+概念验证中心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西交利物浦大学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苏州市西交大纳米材料概念验证中心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西安交通大学苏州研究院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苏州市聚思睿纳米技术应用产业概念验证中心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江苏风铃科转科技发展有限公司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苏州市楷拓生物细胞基因治疗与核酸药物概念验证中心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楷拓生物科技（苏州）有限公司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苏州市牛津大学科技创新大健康概念验证中心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牛津大学创新技术转移（苏州）有限公司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苏州市中国科学院苏州医工所高端医疗器械概念验证中心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中国科学院苏州生物医学工程技术研究所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苏州市中科地星星球探测概念验证中心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苏州中科地星创新技术研究所有限公司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苏州市东大医械院类器官与器官芯片概念验证中心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东南大学苏州医疗器械研究院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苏州市半导体激光创新研究院化合物半导体与激光芯片概念验证中心</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苏州长光华芯半导体激光创新研究院有限公司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5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二、中试工程化服务平台建设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苏州市矩阵化合物半导体智能传感芯片中试工程化服务平台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苏州矩阵光电有限公司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苏州市思萃熔接先进金属材料中试工程化服务平台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苏州思萃熔接技术研究所有限公司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苏州市集萃先进金属材料中试工程化服务平台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江苏集萃先进金属材料研究所有限公司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苏州市思萃同位素分离中试工程化服务平台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苏州思萃同位素技术研究所有限公司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苏州市集萃精凯精密制造装备中试工程化服务平台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江苏集萃精凯高端装备技术有限公司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苏州市华业检测汽车动力系统中试工程化服务平台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华业检测技术服务有限公司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苏州市迈为股份高效异质结太阳能电池装备中试工程化服务平台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苏州迈为科技股份有限公司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苏州市苏职大数字能源先进技术新装备中试工程化服务平台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苏州市职业大学（苏州开放大学）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苏州市魏桥研究院高性能轻合金新材料中试工程化服务平台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魏桥（苏州）轻量化研究院有限公司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苏州市先进材料及表征测试设备中试工程化服务平台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长三角先进材料研究院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苏州市艾棣维欣质粒DNA生产工艺开发和检测中试工程化服务平台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艾棣维欣（苏州）生物制品有限公司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苏州市纳米产研院微纳制造中试工程化服务平台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苏州工业园区纳米产业技术研究院有限公司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苏州市姑苏实验室仪器装备中试工程化服务平台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材料科学姑苏实验室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苏州市空天动力研究院高端制造装备用户端中试工程化服务平台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航天科工空天动力研究院（苏州）有限责任公司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苏州市光电技术中试工程化服务平台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苏州枫桥光电科技有限公司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苏州市浙大苏州院数字和智能中试工程化服务平台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浙江大学苏州工业技术研究院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苏州国科医疗器械中试工程化服务平台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苏州国科医工科技发展（集团）有限公司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95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三、科技公共服务平台建设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苏州市沙源检测技术服务科技公共服务平台</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江苏沙源检测校准技术有限公司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苏州市常熟中纺联检测中心科技公共服务平台</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常熟中纺联检测中心有限公司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苏州市声学产业技术科技公共服务平台</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苏州声学产业技术研究院有限公司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苏州市江苏集萃分子工程研究院有限公司新材料科技公共服务平台</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江苏集萃分子工程研究院有限公司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苏州市航空航天材料及装备测试科技公共服务平台</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西北工业大学太仓长三角研究院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苏州市药物生物样本分析科技公共服务平台</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苏州旭辉检测有限公司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苏州市汽车信息安全科技公共服务平台</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江苏智能网联汽车创新中心有限公司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苏州市相城检测房屋安全鉴定科技公共服务平台</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苏州市相城检测股份有限公司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苏州市系统医学所动物实验科技公共服务平台</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苏州系统医学研究所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苏州市思必驰语言计算科技公共服务平台</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思必驰科技股份有限公司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苏州市苏试广博新能源汽车可靠性验证科技公共服务平台</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苏州苏试广博环境可靠性实验室有限公司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苏州市光质检测科技公共服务平台</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江苏光质检测科技有限公司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苏州市巨翊新型医疗器械一站式研发CDMO科技公共服务平台</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巨翊医疗科技（苏州）有限公司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苏州市莱测检测计量校准科技公共服务平台</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苏州莱测检测科技有限公司</w:t>
            </w:r>
          </w:p>
        </w:tc>
      </w:tr>
    </w:tbl>
    <w:p>
      <w:pPr>
        <w:spacing w:line="480" w:lineRule="atLeast"/>
        <w:jc w:val="both"/>
        <w:rPr>
          <w:rFonts w:hint="default" w:ascii="Times New Roman" w:hAnsi="Times New Roman" w:eastAsia="宋体" w:cs="Times New Roman"/>
          <w:b/>
          <w:kern w:val="44"/>
          <w:sz w:val="44"/>
          <w:szCs w:val="44"/>
        </w:rPr>
      </w:pPr>
    </w:p>
    <w:p>
      <w:bookmarkStart w:id="0" w:name="_GoBack"/>
      <w:bookmarkEnd w:id="0"/>
    </w:p>
    <w:sectPr>
      <w:footerReference r:id="rId3" w:type="default"/>
      <w:footerReference r:id="rId4" w:type="even"/>
      <w:pgSz w:w="11906" w:h="16838"/>
      <w:pgMar w:top="1301" w:right="1417" w:bottom="12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zgyMjA3NzljZTk5M2M0ZjZiNjMwNmQ3NzQ1ZDkifQ=="/>
  </w:docVars>
  <w:rsids>
    <w:rsidRoot w:val="00000000"/>
    <w:rsid w:val="2020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2023-08-30T06:48:45Z</dcterms:created>
  <dc:creator>user</dc:creator>
  <cp:lastModifiedBy>user</cp:lastModifiedBy>
  <dcterms:modified xsi:type="dcterms:W3CDTF">2023-08-30T06:48:57Z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4A7A98784D634E47A631CC4376ED4551_12</vt:lpwstr>
  </property>
</Properties>
</file>