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黄桥街道简介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黄桥，古称黄土塔桥，在老街曾建有石板小桥，桥东有座古塔，桥名由塔而来，地名因桥而成。1958年始，简称“黄桥”，2005年黄桥撤镇改置为黄桥街道。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Times New Roman" w:eastAsia="仿宋_GB2312"/>
          <w:sz w:val="32"/>
          <w:szCs w:val="32"/>
        </w:rPr>
        <w:t>黄桥街道历史悠久，积淀深厚，渔业起家、农业安家、工业发家。50年代，渔业蓬勃发展，连年稳产高产，“庄基粉青”畅销全国。60年代，大搞农田基本建设，连年刷新吴县三麦单产最高纪录，成为吴县农业八大样板大队之一。80年代，兴办乡村集体企业，镇村工业迅猛发展，被苏城各界誉为“老板镇”。</w:t>
      </w:r>
    </w:p>
    <w:p>
      <w:pPr>
        <w:keepNext w:val="0"/>
        <w:keepLines w:val="0"/>
        <w:pageBreakBefore w:val="0"/>
        <w:widowControl w:val="0"/>
        <w:kinsoku/>
        <w:wordWrap/>
        <w:overflowPunct/>
        <w:topLinePunct w:val="0"/>
        <w:autoSpaceDE/>
        <w:autoSpaceDN/>
        <w:bidi w:val="0"/>
        <w:adjustRightInd/>
        <w:snapToGrid/>
        <w:spacing w:line="560" w:lineRule="exact"/>
        <w:ind w:firstLine="640"/>
        <w:jc w:val="left"/>
        <w:textAlignment w:val="auto"/>
        <w:rPr>
          <w:rFonts w:ascii="Times New Roman" w:hAnsi="Times New Roman" w:eastAsia="仿宋_GB2312"/>
          <w:sz w:val="32"/>
          <w:szCs w:val="32"/>
        </w:rPr>
      </w:pPr>
      <w:r>
        <w:rPr>
          <w:rFonts w:ascii="Times New Roman" w:hAnsi="仿宋_GB2312" w:eastAsia="仿宋_GB2312"/>
          <w:sz w:val="32"/>
          <w:szCs w:val="32"/>
        </w:rPr>
        <w:t>黄桥街道位于苏州市相城区</w:t>
      </w:r>
      <w:bookmarkStart w:id="0" w:name="_GoBack"/>
      <w:bookmarkEnd w:id="0"/>
      <w:r>
        <w:rPr>
          <w:rFonts w:ascii="Times New Roman" w:hAnsi="仿宋_GB2312" w:eastAsia="仿宋_GB2312"/>
          <w:sz w:val="32"/>
          <w:szCs w:val="32"/>
        </w:rPr>
        <w:t>核心区域，属于相城省级高新区片区，南接姑苏区，西连苏州高新区（虎丘区）。当前，黄桥街道紧扣相城区</w:t>
      </w:r>
      <w:r>
        <w:rPr>
          <w:rFonts w:ascii="Times New Roman" w:hAnsi="Times New Roman" w:eastAsia="仿宋_GB2312"/>
          <w:sz w:val="32"/>
          <w:szCs w:val="32"/>
        </w:rPr>
        <w:t>“12345”</w:t>
      </w:r>
      <w:r>
        <w:rPr>
          <w:rFonts w:ascii="Times New Roman" w:hAnsi="仿宋_GB2312" w:eastAsia="仿宋_GB2312"/>
          <w:sz w:val="32"/>
          <w:szCs w:val="32"/>
        </w:rPr>
        <w:t>发展战略、</w:t>
      </w:r>
      <w:r>
        <w:rPr>
          <w:rFonts w:ascii="Times New Roman" w:hAnsi="Times New Roman" w:eastAsia="仿宋_GB2312"/>
          <w:sz w:val="32"/>
          <w:szCs w:val="32"/>
        </w:rPr>
        <w:t>“</w:t>
      </w:r>
      <w:r>
        <w:rPr>
          <w:rFonts w:ascii="Times New Roman" w:hAnsi="仿宋_GB2312" w:eastAsia="仿宋_GB2312"/>
          <w:sz w:val="32"/>
          <w:szCs w:val="32"/>
        </w:rPr>
        <w:t>以研发产业为主，配套部分高端制造业</w:t>
      </w:r>
      <w:r>
        <w:rPr>
          <w:rFonts w:ascii="Times New Roman" w:hAnsi="Times New Roman" w:eastAsia="仿宋_GB2312"/>
          <w:sz w:val="32"/>
          <w:szCs w:val="32"/>
        </w:rPr>
        <w:t>”</w:t>
      </w:r>
      <w:r>
        <w:rPr>
          <w:rFonts w:ascii="Times New Roman" w:hAnsi="仿宋_GB2312" w:eastAsia="仿宋_GB2312"/>
          <w:sz w:val="32"/>
          <w:szCs w:val="32"/>
        </w:rPr>
        <w:t>的产业定位以及</w:t>
      </w:r>
      <w:r>
        <w:rPr>
          <w:rFonts w:ascii="Times New Roman" w:hAnsi="Times New Roman" w:eastAsia="仿宋_GB2312"/>
          <w:sz w:val="32"/>
          <w:szCs w:val="32"/>
        </w:rPr>
        <w:t>“</w:t>
      </w:r>
      <w:r>
        <w:rPr>
          <w:rFonts w:ascii="Times New Roman" w:hAnsi="仿宋_GB2312" w:eastAsia="仿宋_GB2312"/>
          <w:sz w:val="32"/>
          <w:szCs w:val="32"/>
        </w:rPr>
        <w:t>三大产业</w:t>
      </w:r>
      <w:r>
        <w:rPr>
          <w:rFonts w:ascii="Times New Roman" w:hAnsi="Times New Roman" w:eastAsia="仿宋_GB2312"/>
          <w:sz w:val="32"/>
          <w:szCs w:val="32"/>
        </w:rPr>
        <w:t>”</w:t>
      </w:r>
      <w:r>
        <w:rPr>
          <w:rFonts w:ascii="Times New Roman" w:hAnsi="仿宋_GB2312" w:eastAsia="仿宋_GB2312"/>
          <w:sz w:val="32"/>
          <w:szCs w:val="32"/>
        </w:rPr>
        <w:t>、</w:t>
      </w:r>
      <w:r>
        <w:rPr>
          <w:rFonts w:ascii="Times New Roman" w:hAnsi="Times New Roman" w:eastAsia="仿宋_GB2312"/>
          <w:sz w:val="32"/>
          <w:szCs w:val="32"/>
        </w:rPr>
        <w:t>“6+4</w:t>
      </w:r>
      <w:r>
        <w:rPr>
          <w:rFonts w:ascii="Times New Roman" w:hAnsi="仿宋_GB2312" w:eastAsia="仿宋_GB2312"/>
          <w:sz w:val="32"/>
          <w:szCs w:val="32"/>
        </w:rPr>
        <w:t>新经济产业高地</w:t>
      </w:r>
      <w:r>
        <w:rPr>
          <w:rFonts w:ascii="Times New Roman" w:hAnsi="Times New Roman" w:eastAsia="仿宋_GB2312"/>
          <w:sz w:val="32"/>
          <w:szCs w:val="32"/>
        </w:rPr>
        <w:t>”</w:t>
      </w:r>
      <w:r>
        <w:rPr>
          <w:rFonts w:ascii="Times New Roman" w:hAnsi="仿宋_GB2312" w:eastAsia="仿宋_GB2312"/>
          <w:sz w:val="32"/>
          <w:szCs w:val="32"/>
        </w:rPr>
        <w:t>和</w:t>
      </w:r>
      <w:r>
        <w:rPr>
          <w:rFonts w:ascii="Times New Roman" w:hAnsi="Times New Roman" w:eastAsia="仿宋_GB2312"/>
          <w:sz w:val="32"/>
          <w:szCs w:val="32"/>
        </w:rPr>
        <w:t>“</w:t>
      </w:r>
      <w:r>
        <w:rPr>
          <w:rFonts w:ascii="Times New Roman" w:hAnsi="仿宋_GB2312" w:eastAsia="仿宋_GB2312"/>
          <w:sz w:val="32"/>
          <w:szCs w:val="32"/>
        </w:rPr>
        <w:t>一区十业百园千企</w:t>
      </w:r>
      <w:r>
        <w:rPr>
          <w:rFonts w:ascii="Times New Roman" w:hAnsi="Times New Roman" w:eastAsia="仿宋_GB2312"/>
          <w:sz w:val="32"/>
          <w:szCs w:val="32"/>
        </w:rPr>
        <w:t>”</w:t>
      </w:r>
      <w:r>
        <w:rPr>
          <w:rFonts w:ascii="Times New Roman" w:hAnsi="仿宋_GB2312" w:eastAsia="仿宋_GB2312"/>
          <w:sz w:val="32"/>
          <w:szCs w:val="32"/>
        </w:rPr>
        <w:t>的发展图景，大力推进重点产业转型升级和新兴产业前瞻布局，不断提升主导产业首位度和价值中枢，努力构建全产业链集群发展生态系统。围绕</w:t>
      </w:r>
      <w:r>
        <w:rPr>
          <w:rFonts w:ascii="Times New Roman" w:hAnsi="Times New Roman" w:eastAsia="仿宋_GB2312"/>
          <w:sz w:val="32"/>
          <w:szCs w:val="32"/>
        </w:rPr>
        <w:t>“</w:t>
      </w:r>
      <w:r>
        <w:rPr>
          <w:rFonts w:ascii="Times New Roman" w:hAnsi="仿宋_GB2312" w:eastAsia="仿宋_GB2312"/>
          <w:sz w:val="32"/>
          <w:szCs w:val="32"/>
        </w:rPr>
        <w:t>创新研发＋智能制造</w:t>
      </w:r>
      <w:r>
        <w:rPr>
          <w:rFonts w:ascii="Times New Roman" w:hAnsi="Times New Roman" w:eastAsia="仿宋_GB2312"/>
          <w:sz w:val="32"/>
          <w:szCs w:val="32"/>
        </w:rPr>
        <w:t>”</w:t>
      </w:r>
      <w:r>
        <w:rPr>
          <w:rFonts w:ascii="Times New Roman" w:hAnsi="仿宋_GB2312" w:eastAsia="仿宋_GB2312"/>
          <w:sz w:val="32"/>
          <w:szCs w:val="32"/>
        </w:rPr>
        <w:t>两大产业方向，重点培育</w:t>
      </w:r>
      <w:r>
        <w:rPr>
          <w:rFonts w:ascii="Times New Roman" w:hAnsi="Times New Roman" w:eastAsia="仿宋_GB2312"/>
          <w:sz w:val="32"/>
          <w:szCs w:val="32"/>
        </w:rPr>
        <w:t>“</w:t>
      </w:r>
      <w:r>
        <w:rPr>
          <w:rFonts w:ascii="Times New Roman" w:hAnsi="仿宋_GB2312" w:eastAsia="仿宋_GB2312"/>
          <w:sz w:val="32"/>
          <w:szCs w:val="32"/>
        </w:rPr>
        <w:t>电子信息、装备制造、生物医药、工业设计</w:t>
      </w:r>
      <w:r>
        <w:rPr>
          <w:rFonts w:ascii="Times New Roman" w:hAnsi="Times New Roman" w:eastAsia="仿宋_GB2312"/>
          <w:sz w:val="32"/>
          <w:szCs w:val="32"/>
        </w:rPr>
        <w:t>”</w:t>
      </w:r>
      <w:r>
        <w:rPr>
          <w:rFonts w:ascii="Times New Roman" w:hAnsi="仿宋_GB2312" w:eastAsia="仿宋_GB2312"/>
          <w:sz w:val="32"/>
          <w:szCs w:val="32"/>
        </w:rPr>
        <w:t>四大特色产业，着力积蓄经济发展新动能，目标是积极构建</w:t>
      </w:r>
      <w:r>
        <w:rPr>
          <w:rFonts w:ascii="Times New Roman" w:hAnsi="Times New Roman" w:eastAsia="仿宋_GB2312"/>
          <w:sz w:val="32"/>
          <w:szCs w:val="32"/>
        </w:rPr>
        <w:t>“2+4”</w:t>
      </w:r>
      <w:r>
        <w:rPr>
          <w:rFonts w:ascii="Times New Roman" w:hAnsi="仿宋_GB2312" w:eastAsia="仿宋_GB2312"/>
          <w:sz w:val="32"/>
          <w:szCs w:val="32"/>
        </w:rPr>
        <w:t>现代产业链，加快形成特色鲜明、支撑有力的主导产业集群。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仿宋_GB2312" w:eastAsia="仿宋_GB2312"/>
          <w:sz w:val="32"/>
          <w:szCs w:val="32"/>
        </w:rPr>
        <w:t>区位优势明显，交通便利。</w:t>
      </w:r>
      <w:r>
        <w:rPr>
          <w:rFonts w:ascii="Times New Roman" w:hAnsi="Times New Roman" w:eastAsia="仿宋_GB2312"/>
          <w:sz w:val="32"/>
          <w:szCs w:val="32"/>
        </w:rPr>
        <w:t>黄桥路网外联内畅，苏州绕城高速新区出入口毗邻街道西南角；苏虞张（S228）、春申湖快速路、中环北线（太阳路）等多条高级公路紧密连接高铁新城、工业园区、苏州高新区（虎丘区）；人民路北延、广济北路、桐泾路北延、永方路贯穿其间，实现黄桥与苏州古城区无缝对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仿宋_GB2312" w:eastAsia="仿宋_GB2312"/>
          <w:sz w:val="32"/>
          <w:szCs w:val="32"/>
        </w:rPr>
        <w:t>配套完备，宜居宜业。拥有黄桥伊顿幼儿园、黄桥实验小学、黄桥中学、美国荟同国际学校、苏州外国语学校相城校区等优质的教育资源和苏州大学附属第一医院、苏州市妇幼保健院、相城区康复医院等一流的医疗资源。同时，苏州第二图书馆、苏州市第二文化宫、书香人才公园、大悦春风里、吾悦广场等各类文化休闲场所集聚，提升了人们的生活品质，将黄桥打造成一处宜居之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sz w:val="32"/>
          <w:szCs w:val="32"/>
        </w:rPr>
      </w:pPr>
      <w:r>
        <w:rPr>
          <w:rFonts w:ascii="Times New Roman" w:hAnsi="仿宋_GB2312" w:eastAsia="仿宋_GB2312"/>
          <w:sz w:val="32"/>
          <w:szCs w:val="32"/>
        </w:rPr>
        <w:t>未来，黄桥街道将大力破解资源制约和要素保障难题，以科技创新为源头，以产业链和创新链</w:t>
      </w:r>
      <w:r>
        <w:rPr>
          <w:rFonts w:hint="eastAsia" w:ascii="Times New Roman" w:hAnsi="仿宋_GB2312" w:eastAsia="仿宋_GB2312"/>
          <w:sz w:val="32"/>
          <w:szCs w:val="32"/>
        </w:rPr>
        <w:t>协调发展为路径，打造一批具有市场影响力和特色优势的产业集群，建设经济发展引领区、研发产业集聚区、城市建设示范区、产城一体样板区，形成产业园区和商务商贸区组团相间，生活区和功能配套区有机融合的新格局，将黄桥建成环境优美、宜居宜业、特色鲜明的现代化城市板块。</w:t>
      </w:r>
    </w:p>
    <w:sectPr>
      <w:footerReference r:id="rId3" w:type="default"/>
      <w:pgSz w:w="11906" w:h="16838"/>
      <w:pgMar w:top="1701" w:right="1531" w:bottom="1701" w:left="153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C5F0968B-171C-44F1-87C6-F51D351B39F5}"/>
  </w:font>
  <w:font w:name="方正小标宋简体">
    <w:panose1 w:val="02000000000000000000"/>
    <w:charset w:val="86"/>
    <w:family w:val="auto"/>
    <w:pitch w:val="default"/>
    <w:sig w:usb0="00000001" w:usb1="08000000" w:usb2="00000000" w:usb3="00000000" w:csb0="00040000" w:csb1="00000000"/>
    <w:embedRegular r:id="rId2" w:fontKey="{A1FA1348-10AF-48AF-AA54-B02C3AD26C66}"/>
  </w:font>
  <w:font w:name="仿宋_GB2312">
    <w:panose1 w:val="02010609030101010101"/>
    <w:charset w:val="86"/>
    <w:family w:val="modern"/>
    <w:pitch w:val="default"/>
    <w:sig w:usb0="00000001" w:usb1="080E0000" w:usb2="00000000" w:usb3="00000000" w:csb0="00040000" w:csb1="00000000"/>
    <w:embedRegular r:id="rId3" w:fontKey="{7A75505F-5B75-4AC5-B2C3-AF59C229086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4ED33FBF"/>
    <w:rsid w:val="0006398E"/>
    <w:rsid w:val="00205489"/>
    <w:rsid w:val="0048707D"/>
    <w:rsid w:val="00DF0F5A"/>
    <w:rsid w:val="3B1454BD"/>
    <w:rsid w:val="3D096A38"/>
    <w:rsid w:val="4ED33FBF"/>
    <w:rsid w:val="5A4446D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rFonts w:ascii="Calibri" w:hAnsi="Calibri" w:eastAsia="宋体" w:cs="Times New Roman"/>
      <w:kern w:val="2"/>
      <w:sz w:val="18"/>
      <w:szCs w:val="18"/>
    </w:rPr>
  </w:style>
  <w:style w:type="character" w:customStyle="1" w:styleId="7">
    <w:name w:val="页脚 Char"/>
    <w:basedOn w:val="5"/>
    <w:link w:val="2"/>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148</Words>
  <Characters>846</Characters>
  <Lines>7</Lines>
  <Paragraphs>1</Paragraphs>
  <TotalTime>13</TotalTime>
  <ScaleCrop>false</ScaleCrop>
  <LinksUpToDate>false</LinksUpToDate>
  <CharactersWithSpaces>993</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2022-01-13T01:58:00Z</dcterms:created>
  <dc:creator>Administrator</dc:creator>
  <cp:lastModifiedBy>徐莹</cp:lastModifiedBy>
  <dcterms:modified xsi:type="dcterms:W3CDTF">2022-01-13T02:38:10Z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3098F01A8C804EECA98A7E136B5DD8D9</vt:lpwstr>
  </property>
</Properties>
</file>